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93" w:rsidRDefault="00682E93" w:rsidP="00DB0B40">
      <w:pPr>
        <w:pStyle w:val="Header"/>
        <w:tabs>
          <w:tab w:val="clear" w:pos="4153"/>
          <w:tab w:val="clear" w:pos="8306"/>
        </w:tabs>
        <w:jc w:val="both"/>
        <w:rPr>
          <w:rFonts w:ascii="Verdana" w:hAnsi="Verdana"/>
          <w:b/>
          <w:bCs/>
        </w:rPr>
      </w:pPr>
      <w:bookmarkStart w:id="0" w:name="_GoBack"/>
      <w:bookmarkEnd w:id="0"/>
      <w:r>
        <w:rPr>
          <w:noProof/>
          <w:lang w:eastAsia="en-GB"/>
        </w:rPr>
        <w:drawing>
          <wp:inline distT="0" distB="0" distL="0" distR="0">
            <wp:extent cx="6030595" cy="1378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1378422"/>
                    </a:xfrm>
                    <a:prstGeom prst="rect">
                      <a:avLst/>
                    </a:prstGeom>
                    <a:noFill/>
                    <a:ln>
                      <a:noFill/>
                    </a:ln>
                  </pic:spPr>
                </pic:pic>
              </a:graphicData>
            </a:graphic>
          </wp:inline>
        </w:drawing>
      </w: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DB0B40">
      <w:pPr>
        <w:pStyle w:val="Header"/>
        <w:tabs>
          <w:tab w:val="clear" w:pos="4153"/>
          <w:tab w:val="clear" w:pos="8306"/>
        </w:tabs>
        <w:jc w:val="both"/>
        <w:rPr>
          <w:rFonts w:ascii="Verdana" w:hAnsi="Verdana"/>
          <w:b/>
          <w:bCs/>
          <w:sz w:val="32"/>
          <w:szCs w:val="32"/>
        </w:rPr>
      </w:pPr>
    </w:p>
    <w:p w:rsidR="00682E93" w:rsidRPr="001B36FA" w:rsidRDefault="00682E93" w:rsidP="00682E93">
      <w:pPr>
        <w:pStyle w:val="Header"/>
        <w:tabs>
          <w:tab w:val="clear" w:pos="4153"/>
          <w:tab w:val="clear" w:pos="8306"/>
        </w:tabs>
        <w:jc w:val="center"/>
        <w:rPr>
          <w:b/>
          <w:bCs/>
          <w:sz w:val="32"/>
          <w:szCs w:val="32"/>
        </w:rPr>
      </w:pPr>
      <w:r w:rsidRPr="001B36FA">
        <w:rPr>
          <w:b/>
          <w:bCs/>
          <w:sz w:val="32"/>
          <w:szCs w:val="32"/>
        </w:rPr>
        <w:t>BRYMORE SCHOOL</w:t>
      </w:r>
    </w:p>
    <w:p w:rsidR="00682E93" w:rsidRPr="001B36FA" w:rsidRDefault="00682E93" w:rsidP="00682E93">
      <w:pPr>
        <w:pStyle w:val="Header"/>
        <w:tabs>
          <w:tab w:val="clear" w:pos="4153"/>
          <w:tab w:val="clear" w:pos="8306"/>
        </w:tabs>
        <w:jc w:val="center"/>
        <w:rPr>
          <w:b/>
          <w:bCs/>
          <w:sz w:val="32"/>
          <w:szCs w:val="32"/>
        </w:rPr>
      </w:pPr>
    </w:p>
    <w:p w:rsidR="00682E93" w:rsidRPr="001B36FA" w:rsidRDefault="00682E93" w:rsidP="00682E93">
      <w:pPr>
        <w:pStyle w:val="Header"/>
        <w:tabs>
          <w:tab w:val="clear" w:pos="4153"/>
          <w:tab w:val="clear" w:pos="8306"/>
        </w:tabs>
        <w:jc w:val="center"/>
        <w:rPr>
          <w:b/>
          <w:bCs/>
          <w:sz w:val="32"/>
          <w:szCs w:val="32"/>
        </w:rPr>
      </w:pPr>
      <w:r w:rsidRPr="001B36FA">
        <w:rPr>
          <w:b/>
          <w:bCs/>
          <w:sz w:val="32"/>
          <w:szCs w:val="32"/>
        </w:rPr>
        <w:t>CHARGING AND REMISSIONS POLICY</w:t>
      </w:r>
    </w:p>
    <w:p w:rsidR="00682E93" w:rsidRPr="001B36FA" w:rsidRDefault="00682E93" w:rsidP="00682E93">
      <w:pPr>
        <w:pStyle w:val="Header"/>
        <w:tabs>
          <w:tab w:val="clear" w:pos="4153"/>
          <w:tab w:val="clear" w:pos="8306"/>
        </w:tabs>
        <w:jc w:val="center"/>
        <w:rPr>
          <w:b/>
          <w:bCs/>
          <w:sz w:val="28"/>
          <w:szCs w:val="28"/>
        </w:rPr>
      </w:pPr>
    </w:p>
    <w:p w:rsidR="00682E93" w:rsidRPr="001B36FA" w:rsidRDefault="00682E93"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1B36FA" w:rsidRDefault="001B36FA" w:rsidP="00682E93">
      <w:pPr>
        <w:pStyle w:val="Header"/>
        <w:tabs>
          <w:tab w:val="clear" w:pos="4153"/>
          <w:tab w:val="clear" w:pos="8306"/>
        </w:tabs>
        <w:jc w:val="center"/>
        <w:rPr>
          <w:b/>
          <w:bCs/>
          <w:sz w:val="28"/>
          <w:szCs w:val="28"/>
        </w:rPr>
      </w:pPr>
    </w:p>
    <w:p w:rsidR="00682E93" w:rsidRPr="001B36FA" w:rsidRDefault="00682E93" w:rsidP="00682E93">
      <w:pPr>
        <w:pStyle w:val="Header"/>
        <w:tabs>
          <w:tab w:val="clear" w:pos="4153"/>
          <w:tab w:val="clear" w:pos="8306"/>
        </w:tabs>
        <w:jc w:val="center"/>
        <w:rPr>
          <w:b/>
          <w:bCs/>
          <w:sz w:val="28"/>
          <w:szCs w:val="28"/>
        </w:rPr>
      </w:pPr>
      <w:r w:rsidRPr="001B36FA">
        <w:rPr>
          <w:b/>
          <w:bCs/>
          <w:sz w:val="28"/>
          <w:szCs w:val="28"/>
        </w:rPr>
        <w:t>November 2012</w:t>
      </w: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Default="00E05031" w:rsidP="00682E93">
      <w:pPr>
        <w:pStyle w:val="Header"/>
        <w:tabs>
          <w:tab w:val="clear" w:pos="4153"/>
          <w:tab w:val="clear" w:pos="8306"/>
        </w:tabs>
        <w:jc w:val="center"/>
        <w:rPr>
          <w:b/>
          <w:bCs/>
        </w:rPr>
      </w:pPr>
    </w:p>
    <w:p w:rsidR="001B36FA" w:rsidRPr="001B36FA" w:rsidRDefault="001B36FA" w:rsidP="00682E93">
      <w:pPr>
        <w:pStyle w:val="Header"/>
        <w:tabs>
          <w:tab w:val="clear" w:pos="4153"/>
          <w:tab w:val="clear" w:pos="8306"/>
        </w:tabs>
        <w:jc w:val="center"/>
        <w:rPr>
          <w:b/>
          <w:bCs/>
        </w:rPr>
      </w:pPr>
    </w:p>
    <w:p w:rsidR="00E05031" w:rsidRPr="001B36FA" w:rsidRDefault="00E05031" w:rsidP="00682E93">
      <w:pPr>
        <w:pStyle w:val="Header"/>
        <w:tabs>
          <w:tab w:val="clear" w:pos="4153"/>
          <w:tab w:val="clear" w:pos="8306"/>
        </w:tabs>
        <w:jc w:val="center"/>
        <w:rPr>
          <w:b/>
          <w:bCs/>
        </w:rPr>
      </w:pPr>
    </w:p>
    <w:p w:rsidR="00E05031" w:rsidRPr="00E05031" w:rsidRDefault="00E05031" w:rsidP="00682E93">
      <w:pPr>
        <w:pStyle w:val="Header"/>
        <w:tabs>
          <w:tab w:val="clear" w:pos="4153"/>
          <w:tab w:val="clear" w:pos="8306"/>
        </w:tabs>
        <w:jc w:val="center"/>
        <w:rPr>
          <w:bCs/>
        </w:rPr>
      </w:pPr>
      <w:r w:rsidRPr="00E05031">
        <w:rPr>
          <w:bCs/>
        </w:rPr>
        <w:t>Submitted to Personnel, Finance &amp; Marketing on 19 November 2012</w:t>
      </w:r>
    </w:p>
    <w:p w:rsidR="00E05031" w:rsidRPr="00E05031" w:rsidRDefault="00E05031" w:rsidP="00682E93">
      <w:pPr>
        <w:pStyle w:val="Header"/>
        <w:tabs>
          <w:tab w:val="clear" w:pos="4153"/>
          <w:tab w:val="clear" w:pos="8306"/>
        </w:tabs>
        <w:jc w:val="center"/>
        <w:rPr>
          <w:bCs/>
        </w:rPr>
      </w:pPr>
    </w:p>
    <w:p w:rsidR="00E05031" w:rsidRPr="00E05031" w:rsidRDefault="00E05031" w:rsidP="00682E93">
      <w:pPr>
        <w:pStyle w:val="Header"/>
        <w:tabs>
          <w:tab w:val="clear" w:pos="4153"/>
          <w:tab w:val="clear" w:pos="8306"/>
        </w:tabs>
        <w:jc w:val="center"/>
        <w:rPr>
          <w:bCs/>
        </w:rPr>
      </w:pPr>
      <w:r w:rsidRPr="00E05031">
        <w:rPr>
          <w:bCs/>
        </w:rPr>
        <w:t xml:space="preserve">Adopted by Governing Body on </w:t>
      </w:r>
      <w:r w:rsidR="00EC56C3">
        <w:rPr>
          <w:bCs/>
        </w:rPr>
        <w:t>5 December 2012</w:t>
      </w:r>
    </w:p>
    <w:p w:rsidR="00E05031" w:rsidRPr="00E05031" w:rsidRDefault="00E05031" w:rsidP="00682E93">
      <w:pPr>
        <w:pStyle w:val="Header"/>
        <w:tabs>
          <w:tab w:val="clear" w:pos="4153"/>
          <w:tab w:val="clear" w:pos="8306"/>
        </w:tabs>
        <w:jc w:val="center"/>
        <w:rPr>
          <w:bCs/>
        </w:rPr>
      </w:pPr>
    </w:p>
    <w:p w:rsidR="00E05031" w:rsidRDefault="00E05031" w:rsidP="00682E93">
      <w:pPr>
        <w:pStyle w:val="Header"/>
        <w:tabs>
          <w:tab w:val="clear" w:pos="4153"/>
          <w:tab w:val="clear" w:pos="8306"/>
        </w:tabs>
        <w:jc w:val="center"/>
        <w:rPr>
          <w:bCs/>
        </w:rPr>
      </w:pPr>
      <w:r w:rsidRPr="00E05031">
        <w:rPr>
          <w:bCs/>
        </w:rPr>
        <w:t>To be reviewe</w:t>
      </w:r>
      <w:r>
        <w:rPr>
          <w:bCs/>
        </w:rPr>
        <w:t>d:  2013</w:t>
      </w:r>
    </w:p>
    <w:p w:rsidR="00E05031" w:rsidRDefault="00E05031" w:rsidP="00682E93">
      <w:pPr>
        <w:pStyle w:val="Header"/>
        <w:tabs>
          <w:tab w:val="clear" w:pos="4153"/>
          <w:tab w:val="clear" w:pos="8306"/>
        </w:tabs>
        <w:jc w:val="center"/>
        <w:rPr>
          <w:bCs/>
        </w:rPr>
      </w:pPr>
    </w:p>
    <w:p w:rsidR="00E05031" w:rsidRPr="00E05031" w:rsidRDefault="00E05031" w:rsidP="00682E93">
      <w:pPr>
        <w:pStyle w:val="Header"/>
        <w:tabs>
          <w:tab w:val="clear" w:pos="4153"/>
          <w:tab w:val="clear" w:pos="8306"/>
        </w:tabs>
        <w:jc w:val="center"/>
        <w:rPr>
          <w:bCs/>
        </w:rPr>
      </w:pPr>
      <w:r>
        <w:rPr>
          <w:bCs/>
        </w:rPr>
        <w:t xml:space="preserve">Signature of Chair of </w:t>
      </w:r>
      <w:proofErr w:type="gramStart"/>
      <w:r>
        <w:rPr>
          <w:bCs/>
        </w:rPr>
        <w:t>Governors  …</w:t>
      </w:r>
      <w:proofErr w:type="gramEnd"/>
      <w:r>
        <w:rPr>
          <w:bCs/>
        </w:rPr>
        <w:t>……………………………………….</w:t>
      </w:r>
    </w:p>
    <w:p w:rsidR="00682E93" w:rsidRPr="00682E93" w:rsidRDefault="00682E93" w:rsidP="00DB0B40">
      <w:pPr>
        <w:pStyle w:val="Header"/>
        <w:tabs>
          <w:tab w:val="clear" w:pos="4153"/>
          <w:tab w:val="clear" w:pos="8306"/>
        </w:tabs>
        <w:jc w:val="both"/>
        <w:rPr>
          <w:b/>
          <w:bCs/>
        </w:rPr>
      </w:pPr>
    </w:p>
    <w:p w:rsidR="00DB0B40" w:rsidRPr="000A5896" w:rsidRDefault="00DB0B40" w:rsidP="00DB0B40">
      <w:pPr>
        <w:pStyle w:val="Header"/>
        <w:tabs>
          <w:tab w:val="clear" w:pos="4153"/>
          <w:tab w:val="clear" w:pos="8306"/>
        </w:tabs>
        <w:jc w:val="both"/>
        <w:rPr>
          <w:b/>
          <w:bCs/>
        </w:rPr>
      </w:pPr>
      <w:r w:rsidRPr="000A5896">
        <w:rPr>
          <w:b/>
          <w:bCs/>
        </w:rPr>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pupils should have an equal opportunity to benefit from school activities and visits (curricular and extra curricular) independent of their parents’ financial means. </w:t>
      </w:r>
      <w:r w:rsidR="001B36FA">
        <w:rPr>
          <w:rFonts w:ascii="Arial" w:hAnsi="Arial" w:cs="Arial"/>
          <w:sz w:val="22"/>
          <w:szCs w:val="22"/>
        </w:rPr>
        <w:t xml:space="preserve"> </w:t>
      </w:r>
      <w:r w:rsidRPr="00DB0B40">
        <w:rPr>
          <w:rFonts w:ascii="Arial" w:hAnsi="Arial" w:cs="Arial"/>
          <w:sz w:val="22"/>
          <w:szCs w:val="22"/>
        </w:rPr>
        <w:t>This charging and remissions policy describes how we will do our best to ensure a good range of visits and activities is offered at the same time, try to minimise the financial barriers which may prevent some pupils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ompliments the school’s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Roles and responsibilities of H</w:t>
      </w:r>
      <w:r w:rsidRPr="00DB0B40">
        <w:rPr>
          <w:sz w:val="22"/>
          <w:szCs w:val="22"/>
        </w:rPr>
        <w:t>eadteacher,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The H</w:t>
      </w:r>
      <w:r w:rsidRPr="00DB0B40">
        <w:rPr>
          <w:rFonts w:ascii="Arial" w:hAnsi="Arial" w:cs="Arial"/>
          <w:sz w:val="22"/>
          <w:szCs w:val="22"/>
        </w:rPr>
        <w:t>eadteacher,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Education provided during school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Education provided outside school hours if it is part of the National Curriculum, or part of a syllabus for a prescribed public examination that the pupil is being prepared for at the school, or part of the school’s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Tuition for pupils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Education provided on any trip that takes place during school hours.</w:t>
      </w:r>
      <w:r w:rsidR="001B36FA">
        <w:rPr>
          <w:rFonts w:ascii="Arial" w:hAnsi="Arial" w:cs="Arial"/>
          <w:sz w:val="22"/>
          <w:szCs w:val="22"/>
        </w:rPr>
        <w:t xml:space="preserve"> </w:t>
      </w:r>
      <w:r w:rsidRPr="00DB0B40">
        <w:rPr>
          <w:rFonts w:ascii="Arial" w:hAnsi="Arial" w:cs="Arial"/>
          <w:sz w:val="22"/>
          <w:szCs w:val="22"/>
        </w:rPr>
        <w:t xml:space="preserve">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Education provided on any trip that takes place outside school hours if it is part of the National Curriculum or part of the school’s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Supply teachers to cover for those teachers who are absent from school accompanying pupils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A</w:t>
      </w:r>
      <w:r w:rsidR="001B36FA">
        <w:rPr>
          <w:rFonts w:ascii="Arial" w:hAnsi="Arial" w:cs="Arial"/>
          <w:sz w:val="22"/>
          <w:szCs w:val="22"/>
        </w:rPr>
        <w:t>ctivities outside school hours -</w:t>
      </w:r>
      <w:r w:rsidRPr="00DB0B40">
        <w:rPr>
          <w:rFonts w:ascii="Arial" w:hAnsi="Arial" w:cs="Arial"/>
          <w:sz w:val="22"/>
          <w:szCs w:val="22"/>
        </w:rPr>
        <w:t xml:space="preserve"> Non-residential activities (other than those listed in 1 above), which take place outside school hours, but only if the majority of the time spent on that activity takes place outside school hours (time spent on travel counts in this calculation if the travel itself occurs during school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w:t>
      </w:r>
      <w:r w:rsidR="001B36FA">
        <w:rPr>
          <w:rFonts w:ascii="Arial" w:hAnsi="Arial" w:cs="Arial"/>
          <w:sz w:val="22"/>
          <w:szCs w:val="22"/>
        </w:rPr>
        <w:t>-</w:t>
      </w:r>
      <w:r w:rsidRPr="00DB0B40">
        <w:rPr>
          <w:rFonts w:ascii="Arial" w:hAnsi="Arial" w:cs="Arial"/>
          <w:sz w:val="22"/>
          <w:szCs w:val="22"/>
        </w:rPr>
        <w:t xml:space="preserve"> Board and lodging costs (but only those costs) of residential trips deemed to take place during school time. </w:t>
      </w:r>
      <w:r w:rsidR="001B36FA">
        <w:rPr>
          <w:rFonts w:ascii="Arial" w:hAnsi="Arial" w:cs="Arial"/>
          <w:sz w:val="22"/>
          <w:szCs w:val="22"/>
        </w:rPr>
        <w:t xml:space="preserve"> </w:t>
      </w:r>
      <w:r w:rsidRPr="00DB0B40">
        <w:rPr>
          <w:rFonts w:ascii="Arial" w:hAnsi="Arial" w:cs="Arial"/>
          <w:sz w:val="22"/>
          <w:szCs w:val="22"/>
        </w:rPr>
        <w:t>However, pupils whose parents are in receipt of certain benefits (see point 3 below) may not be charged for board and lodging costs.</w:t>
      </w:r>
      <w:r w:rsidR="001B36FA">
        <w:rPr>
          <w:rFonts w:ascii="Arial" w:hAnsi="Arial" w:cs="Arial"/>
          <w:sz w:val="22"/>
          <w:szCs w:val="22"/>
        </w:rPr>
        <w:t xml:space="preserve"> </w:t>
      </w:r>
      <w:r w:rsidRPr="00DB0B40">
        <w:rPr>
          <w:rFonts w:ascii="Arial" w:hAnsi="Arial" w:cs="Arial"/>
          <w:sz w:val="22"/>
          <w:szCs w:val="22"/>
        </w:rPr>
        <w:t xml:space="preserve"> Residential trips deemed to take place outside school time (other than for those activities listed in 1 above). </w:t>
      </w:r>
      <w:r w:rsidR="001B36FA">
        <w:rPr>
          <w:rFonts w:ascii="Arial" w:hAnsi="Arial" w:cs="Arial"/>
          <w:sz w:val="22"/>
          <w:szCs w:val="22"/>
        </w:rPr>
        <w:t xml:space="preserve"> </w:t>
      </w:r>
      <w:r w:rsidRPr="00DB0B40">
        <w:rPr>
          <w:rFonts w:ascii="Arial" w:hAnsi="Arial" w:cs="Arial"/>
          <w:sz w:val="22"/>
          <w:szCs w:val="22"/>
        </w:rPr>
        <w:t>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Music tuition </w:t>
      </w:r>
      <w:r w:rsidR="001B36FA">
        <w:rPr>
          <w:rFonts w:ascii="Arial" w:hAnsi="Arial" w:cs="Arial"/>
          <w:sz w:val="22"/>
          <w:szCs w:val="22"/>
        </w:rPr>
        <w:t>-</w:t>
      </w:r>
      <w:r w:rsidRPr="00DB0B40">
        <w:rPr>
          <w:rFonts w:ascii="Arial" w:hAnsi="Arial" w:cs="Arial"/>
          <w:sz w:val="22"/>
          <w:szCs w:val="22"/>
        </w:rPr>
        <w:t xml:space="preserve">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w:t>
      </w:r>
      <w:r w:rsidR="001B36FA">
        <w:rPr>
          <w:rFonts w:ascii="Arial" w:hAnsi="Arial" w:cs="Arial"/>
          <w:sz w:val="22"/>
          <w:szCs w:val="22"/>
        </w:rPr>
        <w:t>-</w:t>
      </w:r>
      <w:r w:rsidRPr="00DB0B40">
        <w:rPr>
          <w:rFonts w:ascii="Arial" w:hAnsi="Arial" w:cs="Arial"/>
          <w:sz w:val="22"/>
          <w:szCs w:val="22"/>
        </w:rPr>
        <w:t xml:space="preserve">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w:t>
      </w:r>
      <w:r w:rsidR="001B36FA">
        <w:rPr>
          <w:rFonts w:ascii="Arial" w:hAnsi="Arial" w:cs="Arial"/>
          <w:sz w:val="22"/>
          <w:szCs w:val="22"/>
        </w:rPr>
        <w:t>,</w:t>
      </w:r>
      <w:r w:rsidR="004A6A42">
        <w:rPr>
          <w:rFonts w:ascii="Arial" w:hAnsi="Arial" w:cs="Arial"/>
          <w:sz w:val="22"/>
          <w:szCs w:val="22"/>
        </w:rPr>
        <w:t>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Where possible we shall publish a list of visits (and their approximate cost) at the beginning of the school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pupil</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We acknowledge that offering opportunities on a “first pay, first served” basis discriminates against pupils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xamination fees when the pupil was not prepared for the examination at the sc</w:t>
      </w:r>
      <w:r w:rsidR="003014E6">
        <w:rPr>
          <w:rFonts w:ascii="Arial" w:hAnsi="Arial" w:cs="Arial"/>
          <w:sz w:val="22"/>
          <w:szCs w:val="22"/>
        </w:rPr>
        <w:t xml:space="preserve">hool or the examination is not </w:t>
      </w:r>
      <w:r w:rsidRPr="0026625F">
        <w:rPr>
          <w:rFonts w:ascii="Arial" w:hAnsi="Arial" w:cs="Arial"/>
          <w:sz w:val="22"/>
          <w:szCs w:val="22"/>
        </w:rPr>
        <w:t>on the National Curriculum, but the school arranges for the pupil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Recharge for examination fees if a pupil fails without good reason to complete the requirements of any public examination where the governing body originally paid or agreed to pay the entry fee</w:t>
      </w:r>
    </w:p>
    <w:p w:rsidR="0026625F" w:rsidRPr="001B36FA"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school </w:t>
      </w:r>
    </w:p>
    <w:p w:rsidR="0026625F" w:rsidRPr="001B36FA" w:rsidRDefault="0026625F" w:rsidP="001B36FA">
      <w:pPr>
        <w:numPr>
          <w:ilvl w:val="0"/>
          <w:numId w:val="7"/>
        </w:numPr>
        <w:jc w:val="both"/>
        <w:rPr>
          <w:rFonts w:ascii="Arial" w:hAnsi="Arial" w:cs="Arial"/>
          <w:bCs/>
          <w:sz w:val="22"/>
          <w:szCs w:val="22"/>
        </w:rPr>
      </w:pPr>
      <w:r w:rsidRPr="001B36FA">
        <w:rPr>
          <w:rFonts w:ascii="Arial" w:hAnsi="Arial" w:cs="Arial"/>
          <w:sz w:val="22"/>
          <w:szCs w:val="22"/>
        </w:rPr>
        <w:t>Charge for breakages and replacements as a result of damages caused wilfully or negligently by pupils.</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footerReference w:type="default" r:id="rId9"/>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5F" w:rsidRDefault="0026625F" w:rsidP="00682E93">
      <w:r>
        <w:separator/>
      </w:r>
    </w:p>
  </w:endnote>
  <w:endnote w:type="continuationSeparator" w:id="0">
    <w:p w:rsidR="0026625F" w:rsidRDefault="0026625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F" w:rsidRPr="0026625F" w:rsidRDefault="0026625F">
    <w:pPr>
      <w:pStyle w:val="Footer"/>
      <w:pBdr>
        <w:top w:val="thinThickSmallGap" w:sz="24" w:space="1" w:color="622423" w:themeColor="accent2" w:themeShade="7F"/>
      </w:pBdr>
      <w:rPr>
        <w:rFonts w:ascii="Arial" w:eastAsiaTheme="majorEastAsia" w:hAnsi="Arial" w:cs="Arial"/>
        <w:sz w:val="16"/>
        <w:szCs w:val="18"/>
      </w:rPr>
    </w:pPr>
    <w:r w:rsidRPr="0026625F">
      <w:rPr>
        <w:rFonts w:ascii="Arial" w:eastAsiaTheme="majorEastAsia" w:hAnsi="Arial" w:cs="Arial"/>
        <w:sz w:val="16"/>
        <w:szCs w:val="18"/>
      </w:rPr>
      <w:t>Brymore School</w:t>
    </w:r>
  </w:p>
  <w:p w:rsidR="0026625F" w:rsidRPr="0026625F" w:rsidRDefault="0026625F">
    <w:pPr>
      <w:pStyle w:val="Footer"/>
      <w:pBdr>
        <w:top w:val="thinThickSmallGap" w:sz="24" w:space="1" w:color="622423" w:themeColor="accent2" w:themeShade="7F"/>
      </w:pBdr>
      <w:rPr>
        <w:rFonts w:ascii="Arial" w:eastAsiaTheme="majorEastAsia" w:hAnsi="Arial" w:cs="Arial"/>
        <w:sz w:val="16"/>
        <w:szCs w:val="18"/>
      </w:rPr>
    </w:pPr>
    <w:r w:rsidRPr="0026625F">
      <w:rPr>
        <w:rFonts w:ascii="Arial" w:eastAsiaTheme="majorEastAsia" w:hAnsi="Arial" w:cs="Arial"/>
        <w:sz w:val="16"/>
        <w:szCs w:val="18"/>
      </w:rPr>
      <w:t>Charging and Remissions Policy</w:t>
    </w:r>
  </w:p>
  <w:p w:rsidR="0026625F" w:rsidRPr="0026625F" w:rsidRDefault="0026625F">
    <w:pPr>
      <w:pStyle w:val="Footer"/>
      <w:pBdr>
        <w:top w:val="thinThickSmallGap" w:sz="24" w:space="1" w:color="622423" w:themeColor="accent2" w:themeShade="7F"/>
      </w:pBdr>
      <w:rPr>
        <w:rFonts w:ascii="Arial" w:eastAsiaTheme="majorEastAsia" w:hAnsi="Arial" w:cstheme="majorBidi"/>
        <w:sz w:val="16"/>
      </w:rPr>
    </w:pPr>
    <w:r w:rsidRPr="0026625F">
      <w:rPr>
        <w:rFonts w:ascii="Arial" w:eastAsiaTheme="majorEastAsia" w:hAnsi="Arial" w:cs="Arial"/>
        <w:sz w:val="16"/>
        <w:szCs w:val="18"/>
      </w:rPr>
      <w:t>November 2012</w:t>
    </w:r>
    <w:r w:rsidRPr="0026625F">
      <w:rPr>
        <w:rFonts w:ascii="Arial" w:eastAsiaTheme="majorEastAsia" w:hAnsi="Arial" w:cstheme="majorBidi"/>
        <w:sz w:val="16"/>
      </w:rPr>
      <w:ptab w:relativeTo="margin" w:alignment="right" w:leader="none"/>
    </w:r>
    <w:r w:rsidRPr="0026625F">
      <w:rPr>
        <w:rFonts w:ascii="Arial" w:eastAsiaTheme="majorEastAsia" w:hAnsi="Arial" w:cstheme="majorBidi"/>
        <w:sz w:val="16"/>
      </w:rPr>
      <w:t xml:space="preserve">Page </w:t>
    </w:r>
    <w:r w:rsidRPr="0026625F">
      <w:rPr>
        <w:rFonts w:ascii="Arial" w:eastAsiaTheme="minorEastAsia" w:hAnsi="Arial" w:cstheme="minorBidi"/>
        <w:sz w:val="16"/>
      </w:rPr>
      <w:fldChar w:fldCharType="begin"/>
    </w:r>
    <w:r w:rsidRPr="0026625F">
      <w:rPr>
        <w:rFonts w:ascii="Arial" w:hAnsi="Arial"/>
        <w:sz w:val="16"/>
      </w:rPr>
      <w:instrText xml:space="preserve"> PAGE   \* MERGEFORMAT </w:instrText>
    </w:r>
    <w:r w:rsidRPr="0026625F">
      <w:rPr>
        <w:rFonts w:ascii="Arial" w:eastAsiaTheme="minorEastAsia" w:hAnsi="Arial" w:cstheme="minorBidi"/>
        <w:sz w:val="16"/>
      </w:rPr>
      <w:fldChar w:fldCharType="separate"/>
    </w:r>
    <w:r w:rsidR="000A5896" w:rsidRPr="000A5896">
      <w:rPr>
        <w:rFonts w:ascii="Arial" w:eastAsiaTheme="majorEastAsia" w:hAnsi="Arial" w:cstheme="majorBidi"/>
        <w:noProof/>
        <w:sz w:val="16"/>
      </w:rPr>
      <w:t>1</w:t>
    </w:r>
    <w:r w:rsidRPr="0026625F">
      <w:rPr>
        <w:rFonts w:ascii="Arial" w:eastAsiaTheme="majorEastAsia" w:hAnsi="Arial" w:cstheme="majorBidi"/>
        <w:noProof/>
        <w:sz w:val="16"/>
      </w:rPr>
      <w:fldChar w:fldCharType="end"/>
    </w:r>
  </w:p>
  <w:p w:rsidR="0026625F" w:rsidRPr="0026625F" w:rsidRDefault="0026625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5F" w:rsidRDefault="0026625F" w:rsidP="00682E93">
      <w:r>
        <w:separator/>
      </w:r>
    </w:p>
  </w:footnote>
  <w:footnote w:type="continuationSeparator" w:id="0">
    <w:p w:rsidR="0026625F" w:rsidRDefault="0026625F" w:rsidP="0068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40"/>
    <w:rsid w:val="00000F1D"/>
    <w:rsid w:val="0007114F"/>
    <w:rsid w:val="000A5896"/>
    <w:rsid w:val="001B36FA"/>
    <w:rsid w:val="0026625F"/>
    <w:rsid w:val="003014E6"/>
    <w:rsid w:val="004A6A42"/>
    <w:rsid w:val="005B0541"/>
    <w:rsid w:val="00682E93"/>
    <w:rsid w:val="006C371B"/>
    <w:rsid w:val="007C3161"/>
    <w:rsid w:val="0089718A"/>
    <w:rsid w:val="00934256"/>
    <w:rsid w:val="00DB0B40"/>
    <w:rsid w:val="00E05031"/>
    <w:rsid w:val="00EC56C3"/>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Julie Vearncombe</cp:lastModifiedBy>
  <cp:revision>6</cp:revision>
  <dcterms:created xsi:type="dcterms:W3CDTF">2012-11-15T12:37:00Z</dcterms:created>
  <dcterms:modified xsi:type="dcterms:W3CDTF">2013-01-21T11:08:00Z</dcterms:modified>
</cp:coreProperties>
</file>