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ECD" w:rsidRPr="003528A2" w:rsidRDefault="004729C8">
      <w:pPr>
        <w:rPr>
          <w:b/>
        </w:rPr>
      </w:pPr>
      <w:r w:rsidRPr="003528A2">
        <w:rPr>
          <w:b/>
        </w:rPr>
        <w:t>Examination Data</w:t>
      </w:r>
      <w:r w:rsidR="00224C5E">
        <w:rPr>
          <w:b/>
        </w:rPr>
        <w:t xml:space="preserve"> 2012-2013</w:t>
      </w:r>
    </w:p>
    <w:p w:rsidR="004729C8" w:rsidRDefault="004729C8">
      <w:r>
        <w:t>Examination results at Brymore have continued to rise and key performance measur</w:t>
      </w:r>
      <w:r w:rsidR="00224C5E">
        <w:t xml:space="preserve">es are shown below. </w:t>
      </w:r>
      <w:proofErr w:type="spellStart"/>
      <w:r w:rsidR="00224C5E">
        <w:t>Brymore</w:t>
      </w:r>
      <w:proofErr w:type="spellEnd"/>
      <w:r>
        <w:t xml:space="preserve"> use</w:t>
      </w:r>
      <w:r w:rsidR="00224C5E">
        <w:t>s</w:t>
      </w:r>
      <w:r>
        <w:t xml:space="preserve"> two</w:t>
      </w:r>
      <w:r w:rsidR="00224C5E">
        <w:t xml:space="preserve"> main</w:t>
      </w:r>
      <w:r>
        <w:t xml:space="preserve"> sources of data which allows comparisons with other schools. These are:</w:t>
      </w:r>
    </w:p>
    <w:p w:rsidR="004729C8" w:rsidRDefault="004729C8">
      <w:r w:rsidRPr="003528A2">
        <w:rPr>
          <w:u w:val="single"/>
        </w:rPr>
        <w:t>RAISE online data</w:t>
      </w:r>
      <w:r>
        <w:t xml:space="preserve"> : Used by Ofsted. It principally looks at value added measures to compare progress, taking into account the starting points of students, prior attainment (Key Stage 2 results) and other factors such as Special Educational Needs, gender, free school meals entitlement etc.</w:t>
      </w:r>
    </w:p>
    <w:p w:rsidR="004729C8" w:rsidRDefault="004729C8">
      <w:r w:rsidRPr="003528A2">
        <w:rPr>
          <w:u w:val="single"/>
        </w:rPr>
        <w:t>Fischer Family Trust (FFT) data</w:t>
      </w:r>
      <w:r>
        <w:t>: This also takes into account prior attainment and sets targets at an individual student and school level according to challenge. At Brymore we use the highest level of challenge when setting targets, so that boys will need to match the top 25% of students nationally in order to reach the target set. Schools are then measured by comparing how many</w:t>
      </w:r>
      <w:r w:rsidR="003528A2">
        <w:t xml:space="preserve"> students meet the targets set.</w:t>
      </w:r>
    </w:p>
    <w:p w:rsidR="004729C8" w:rsidRDefault="004729C8">
      <w:r>
        <w:t>Both sets of data allow schools to compare themselves at a national level and use percentile ranks where a percentile rank of 1 places the school in the top 1% of schools nationally, and a percentile rank of 99 places the school in the top 99% of schools nationally (i.e. the bottom 1%). The lower the number the better.</w:t>
      </w:r>
    </w:p>
    <w:tbl>
      <w:tblPr>
        <w:tblStyle w:val="TableGrid"/>
        <w:tblpPr w:leftFromText="180" w:rightFromText="180" w:vertAnchor="text" w:horzAnchor="margin" w:tblpY="24"/>
        <w:tblW w:w="0" w:type="auto"/>
        <w:tblLook w:val="04A0"/>
      </w:tblPr>
      <w:tblGrid>
        <w:gridCol w:w="1677"/>
        <w:gridCol w:w="699"/>
        <w:gridCol w:w="718"/>
        <w:gridCol w:w="718"/>
        <w:gridCol w:w="832"/>
        <w:gridCol w:w="4598"/>
      </w:tblGrid>
      <w:tr w:rsidR="00224C5E" w:rsidTr="00224C5E">
        <w:tc>
          <w:tcPr>
            <w:tcW w:w="1677" w:type="dxa"/>
          </w:tcPr>
          <w:p w:rsidR="00224C5E" w:rsidRPr="005942E9" w:rsidRDefault="00224C5E" w:rsidP="00224C5E">
            <w:pPr>
              <w:rPr>
                <w:b/>
              </w:rPr>
            </w:pPr>
            <w:r w:rsidRPr="005942E9">
              <w:rPr>
                <w:b/>
              </w:rPr>
              <w:t>Measure</w:t>
            </w:r>
          </w:p>
        </w:tc>
        <w:tc>
          <w:tcPr>
            <w:tcW w:w="699" w:type="dxa"/>
          </w:tcPr>
          <w:p w:rsidR="00224C5E" w:rsidRPr="005942E9" w:rsidRDefault="00224C5E" w:rsidP="00224C5E">
            <w:pPr>
              <w:rPr>
                <w:b/>
              </w:rPr>
            </w:pPr>
            <w:r w:rsidRPr="005942E9">
              <w:rPr>
                <w:b/>
              </w:rPr>
              <w:t>2010</w:t>
            </w:r>
          </w:p>
        </w:tc>
        <w:tc>
          <w:tcPr>
            <w:tcW w:w="718" w:type="dxa"/>
          </w:tcPr>
          <w:p w:rsidR="00224C5E" w:rsidRPr="005942E9" w:rsidRDefault="00224C5E" w:rsidP="00224C5E">
            <w:pPr>
              <w:rPr>
                <w:b/>
              </w:rPr>
            </w:pPr>
            <w:r w:rsidRPr="005942E9">
              <w:rPr>
                <w:b/>
              </w:rPr>
              <w:t>2011</w:t>
            </w:r>
          </w:p>
        </w:tc>
        <w:tc>
          <w:tcPr>
            <w:tcW w:w="718" w:type="dxa"/>
          </w:tcPr>
          <w:p w:rsidR="00224C5E" w:rsidRPr="005942E9" w:rsidRDefault="00224C5E" w:rsidP="00224C5E">
            <w:pPr>
              <w:rPr>
                <w:b/>
              </w:rPr>
            </w:pPr>
            <w:r w:rsidRPr="005942E9">
              <w:rPr>
                <w:b/>
              </w:rPr>
              <w:t>2012</w:t>
            </w:r>
          </w:p>
        </w:tc>
        <w:tc>
          <w:tcPr>
            <w:tcW w:w="832" w:type="dxa"/>
          </w:tcPr>
          <w:p w:rsidR="00224C5E" w:rsidRPr="005942E9" w:rsidRDefault="00224C5E" w:rsidP="00224C5E">
            <w:pPr>
              <w:rPr>
                <w:b/>
              </w:rPr>
            </w:pPr>
            <w:r>
              <w:rPr>
                <w:b/>
              </w:rPr>
              <w:t>2013</w:t>
            </w:r>
          </w:p>
        </w:tc>
        <w:tc>
          <w:tcPr>
            <w:tcW w:w="4598" w:type="dxa"/>
          </w:tcPr>
          <w:p w:rsidR="00224C5E" w:rsidRPr="005942E9" w:rsidRDefault="00224C5E" w:rsidP="00224C5E">
            <w:pPr>
              <w:rPr>
                <w:b/>
              </w:rPr>
            </w:pPr>
            <w:r w:rsidRPr="005942E9">
              <w:rPr>
                <w:b/>
              </w:rPr>
              <w:t>Notes</w:t>
            </w:r>
          </w:p>
        </w:tc>
      </w:tr>
      <w:tr w:rsidR="00224C5E" w:rsidTr="00224C5E">
        <w:tc>
          <w:tcPr>
            <w:tcW w:w="1677" w:type="dxa"/>
          </w:tcPr>
          <w:p w:rsidR="00224C5E" w:rsidRPr="005942E9" w:rsidRDefault="00224C5E" w:rsidP="00224C5E">
            <w:pPr>
              <w:rPr>
                <w:b/>
              </w:rPr>
            </w:pPr>
            <w:r w:rsidRPr="005942E9">
              <w:rPr>
                <w:b/>
              </w:rPr>
              <w:t>5A*-C</w:t>
            </w:r>
          </w:p>
        </w:tc>
        <w:tc>
          <w:tcPr>
            <w:tcW w:w="699" w:type="dxa"/>
          </w:tcPr>
          <w:p w:rsidR="00224C5E" w:rsidRDefault="00224C5E" w:rsidP="00224C5E">
            <w:r>
              <w:t>55%</w:t>
            </w:r>
          </w:p>
        </w:tc>
        <w:tc>
          <w:tcPr>
            <w:tcW w:w="718" w:type="dxa"/>
          </w:tcPr>
          <w:p w:rsidR="00224C5E" w:rsidRDefault="00224C5E" w:rsidP="00224C5E">
            <w:r>
              <w:t>65%</w:t>
            </w:r>
          </w:p>
        </w:tc>
        <w:tc>
          <w:tcPr>
            <w:tcW w:w="718" w:type="dxa"/>
          </w:tcPr>
          <w:p w:rsidR="00224C5E" w:rsidRDefault="00224C5E" w:rsidP="00224C5E">
            <w:r>
              <w:t>86%</w:t>
            </w:r>
          </w:p>
        </w:tc>
        <w:tc>
          <w:tcPr>
            <w:tcW w:w="832" w:type="dxa"/>
          </w:tcPr>
          <w:p w:rsidR="00224C5E" w:rsidRPr="00224C5E" w:rsidRDefault="00224C5E" w:rsidP="00224C5E">
            <w:r>
              <w:t>88%</w:t>
            </w:r>
          </w:p>
        </w:tc>
        <w:tc>
          <w:tcPr>
            <w:tcW w:w="4598" w:type="dxa"/>
          </w:tcPr>
          <w:p w:rsidR="00224C5E" w:rsidRDefault="00224C5E" w:rsidP="00224C5E">
            <w:r>
              <w:rPr>
                <w:b/>
              </w:rPr>
              <w:t>32</w:t>
            </w:r>
            <w:r w:rsidRPr="005942E9">
              <w:rPr>
                <w:b/>
              </w:rPr>
              <w:t>% rise</w:t>
            </w:r>
            <w:r>
              <w:t xml:space="preserve"> in 4 years</w:t>
            </w:r>
          </w:p>
        </w:tc>
      </w:tr>
      <w:tr w:rsidR="00224C5E" w:rsidTr="00224C5E">
        <w:tc>
          <w:tcPr>
            <w:tcW w:w="1677" w:type="dxa"/>
          </w:tcPr>
          <w:p w:rsidR="00224C5E" w:rsidRDefault="00224C5E" w:rsidP="00224C5E">
            <w:r>
              <w:t>Percentile rank (Progress)</w:t>
            </w:r>
          </w:p>
        </w:tc>
        <w:tc>
          <w:tcPr>
            <w:tcW w:w="699" w:type="dxa"/>
          </w:tcPr>
          <w:p w:rsidR="00224C5E" w:rsidRDefault="00224C5E" w:rsidP="00224C5E">
            <w:r>
              <w:t>91</w:t>
            </w:r>
          </w:p>
        </w:tc>
        <w:tc>
          <w:tcPr>
            <w:tcW w:w="718" w:type="dxa"/>
          </w:tcPr>
          <w:p w:rsidR="00224C5E" w:rsidRDefault="00224C5E" w:rsidP="00224C5E">
            <w:r>
              <w:t>39</w:t>
            </w:r>
          </w:p>
        </w:tc>
        <w:tc>
          <w:tcPr>
            <w:tcW w:w="718" w:type="dxa"/>
          </w:tcPr>
          <w:p w:rsidR="00224C5E" w:rsidRDefault="00224C5E" w:rsidP="00224C5E">
            <w:r>
              <w:t>3</w:t>
            </w:r>
          </w:p>
        </w:tc>
        <w:tc>
          <w:tcPr>
            <w:tcW w:w="832" w:type="dxa"/>
          </w:tcPr>
          <w:p w:rsidR="00224C5E" w:rsidRDefault="00224C5E" w:rsidP="00224C5E">
            <w:r>
              <w:t>N/A</w:t>
            </w:r>
          </w:p>
        </w:tc>
        <w:tc>
          <w:tcPr>
            <w:tcW w:w="4598" w:type="dxa"/>
          </w:tcPr>
          <w:p w:rsidR="00224C5E" w:rsidRDefault="00224C5E" w:rsidP="00224C5E">
            <w:r>
              <w:t xml:space="preserve">Bottom 9% to </w:t>
            </w:r>
            <w:r w:rsidRPr="005942E9">
              <w:rPr>
                <w:b/>
              </w:rPr>
              <w:t>top 3% nationally</w:t>
            </w:r>
            <w:r>
              <w:t xml:space="preserve"> in 3 years</w:t>
            </w:r>
          </w:p>
        </w:tc>
      </w:tr>
      <w:tr w:rsidR="00224C5E" w:rsidTr="00224C5E">
        <w:tc>
          <w:tcPr>
            <w:tcW w:w="1677" w:type="dxa"/>
          </w:tcPr>
          <w:p w:rsidR="00224C5E" w:rsidRPr="005942E9" w:rsidRDefault="00224C5E" w:rsidP="00224C5E">
            <w:pPr>
              <w:rPr>
                <w:b/>
              </w:rPr>
            </w:pPr>
            <w:r w:rsidRPr="005942E9">
              <w:rPr>
                <w:b/>
              </w:rPr>
              <w:t>5A*-C including English and maths</w:t>
            </w:r>
          </w:p>
        </w:tc>
        <w:tc>
          <w:tcPr>
            <w:tcW w:w="699" w:type="dxa"/>
          </w:tcPr>
          <w:p w:rsidR="00224C5E" w:rsidRDefault="00224C5E" w:rsidP="00224C5E">
            <w:r>
              <w:t>33%</w:t>
            </w:r>
          </w:p>
        </w:tc>
        <w:tc>
          <w:tcPr>
            <w:tcW w:w="718" w:type="dxa"/>
          </w:tcPr>
          <w:p w:rsidR="00224C5E" w:rsidRDefault="00224C5E" w:rsidP="00224C5E">
            <w:r>
              <w:t>25%</w:t>
            </w:r>
          </w:p>
        </w:tc>
        <w:tc>
          <w:tcPr>
            <w:tcW w:w="718" w:type="dxa"/>
          </w:tcPr>
          <w:p w:rsidR="00224C5E" w:rsidRDefault="00224C5E" w:rsidP="00224C5E">
            <w:r>
              <w:t>27%</w:t>
            </w:r>
          </w:p>
        </w:tc>
        <w:tc>
          <w:tcPr>
            <w:tcW w:w="832" w:type="dxa"/>
          </w:tcPr>
          <w:p w:rsidR="00224C5E" w:rsidRDefault="00224C5E" w:rsidP="00224C5E">
            <w:r>
              <w:t>35%</w:t>
            </w:r>
          </w:p>
        </w:tc>
        <w:tc>
          <w:tcPr>
            <w:tcW w:w="4598" w:type="dxa"/>
          </w:tcPr>
          <w:p w:rsidR="00224C5E" w:rsidRDefault="00224C5E" w:rsidP="00224C5E">
            <w:r>
              <w:t>Ability of intake dropped, relative performance compared to other schools risen</w:t>
            </w:r>
          </w:p>
        </w:tc>
      </w:tr>
      <w:tr w:rsidR="00224C5E" w:rsidTr="00224C5E">
        <w:tc>
          <w:tcPr>
            <w:tcW w:w="1677" w:type="dxa"/>
          </w:tcPr>
          <w:p w:rsidR="00224C5E" w:rsidRDefault="00224C5E" w:rsidP="00224C5E">
            <w:r>
              <w:t>Percentile rank (Progress)</w:t>
            </w:r>
          </w:p>
        </w:tc>
        <w:tc>
          <w:tcPr>
            <w:tcW w:w="699" w:type="dxa"/>
          </w:tcPr>
          <w:p w:rsidR="00224C5E" w:rsidRDefault="00224C5E" w:rsidP="00224C5E">
            <w:r>
              <w:t>86</w:t>
            </w:r>
          </w:p>
        </w:tc>
        <w:tc>
          <w:tcPr>
            <w:tcW w:w="718" w:type="dxa"/>
          </w:tcPr>
          <w:p w:rsidR="00224C5E" w:rsidRDefault="00224C5E" w:rsidP="00224C5E">
            <w:r>
              <w:t>74</w:t>
            </w:r>
          </w:p>
        </w:tc>
        <w:tc>
          <w:tcPr>
            <w:tcW w:w="718" w:type="dxa"/>
          </w:tcPr>
          <w:p w:rsidR="00224C5E" w:rsidRDefault="00224C5E" w:rsidP="00224C5E">
            <w:r>
              <w:t>33</w:t>
            </w:r>
          </w:p>
        </w:tc>
        <w:tc>
          <w:tcPr>
            <w:tcW w:w="832" w:type="dxa"/>
          </w:tcPr>
          <w:p w:rsidR="00224C5E" w:rsidRDefault="00224C5E" w:rsidP="00224C5E">
            <w:r>
              <w:t>26%</w:t>
            </w:r>
          </w:p>
        </w:tc>
        <w:tc>
          <w:tcPr>
            <w:tcW w:w="4598" w:type="dxa"/>
          </w:tcPr>
          <w:p w:rsidR="00224C5E" w:rsidRDefault="00224C5E" w:rsidP="00224C5E">
            <w:r>
              <w:t xml:space="preserve">Now </w:t>
            </w:r>
            <w:r w:rsidRPr="005942E9">
              <w:rPr>
                <w:b/>
              </w:rPr>
              <w:t xml:space="preserve">top </w:t>
            </w:r>
            <w:r>
              <w:rPr>
                <w:b/>
              </w:rPr>
              <w:t>quarter</w:t>
            </w:r>
            <w:r>
              <w:t xml:space="preserve"> of schools nationally</w:t>
            </w:r>
          </w:p>
        </w:tc>
      </w:tr>
      <w:tr w:rsidR="00224C5E" w:rsidTr="00224C5E">
        <w:tc>
          <w:tcPr>
            <w:tcW w:w="1677" w:type="dxa"/>
          </w:tcPr>
          <w:p w:rsidR="00224C5E" w:rsidRPr="005942E9" w:rsidRDefault="00224C5E" w:rsidP="00224C5E">
            <w:pPr>
              <w:rPr>
                <w:b/>
              </w:rPr>
            </w:pPr>
            <w:r w:rsidRPr="005942E9">
              <w:rPr>
                <w:b/>
              </w:rPr>
              <w:t>Capped point score (Best 8 GCSE’s)</w:t>
            </w:r>
          </w:p>
        </w:tc>
        <w:tc>
          <w:tcPr>
            <w:tcW w:w="699" w:type="dxa"/>
          </w:tcPr>
          <w:p w:rsidR="00224C5E" w:rsidRDefault="00224C5E" w:rsidP="00224C5E">
            <w:r>
              <w:t>299</w:t>
            </w:r>
          </w:p>
        </w:tc>
        <w:tc>
          <w:tcPr>
            <w:tcW w:w="718" w:type="dxa"/>
          </w:tcPr>
          <w:p w:rsidR="00224C5E" w:rsidRDefault="00224C5E" w:rsidP="00224C5E">
            <w:r>
              <w:t>308.2</w:t>
            </w:r>
          </w:p>
        </w:tc>
        <w:tc>
          <w:tcPr>
            <w:tcW w:w="718" w:type="dxa"/>
          </w:tcPr>
          <w:p w:rsidR="00224C5E" w:rsidRDefault="00224C5E" w:rsidP="00224C5E">
            <w:r>
              <w:t>320.6</w:t>
            </w:r>
          </w:p>
        </w:tc>
        <w:tc>
          <w:tcPr>
            <w:tcW w:w="832" w:type="dxa"/>
          </w:tcPr>
          <w:p w:rsidR="00224C5E" w:rsidRPr="005942E9" w:rsidRDefault="00224C5E" w:rsidP="00224C5E">
            <w:pPr>
              <w:rPr>
                <w:b/>
              </w:rPr>
            </w:pPr>
            <w:r>
              <w:rPr>
                <w:b/>
              </w:rPr>
              <w:t>321.0</w:t>
            </w:r>
          </w:p>
        </w:tc>
        <w:tc>
          <w:tcPr>
            <w:tcW w:w="4598" w:type="dxa"/>
          </w:tcPr>
          <w:p w:rsidR="00224C5E" w:rsidRDefault="00224C5E" w:rsidP="00224C5E">
            <w:r w:rsidRPr="005942E9">
              <w:rPr>
                <w:b/>
              </w:rPr>
              <w:t>Rising</w:t>
            </w:r>
            <w:r>
              <w:t xml:space="preserve"> for past four years</w:t>
            </w:r>
          </w:p>
        </w:tc>
      </w:tr>
      <w:tr w:rsidR="00224C5E" w:rsidTr="00224C5E">
        <w:tc>
          <w:tcPr>
            <w:tcW w:w="1677" w:type="dxa"/>
          </w:tcPr>
          <w:p w:rsidR="00224C5E" w:rsidRDefault="00224C5E" w:rsidP="00224C5E">
            <w:r>
              <w:t>Percentile rank (Progress)</w:t>
            </w:r>
          </w:p>
        </w:tc>
        <w:tc>
          <w:tcPr>
            <w:tcW w:w="699" w:type="dxa"/>
          </w:tcPr>
          <w:p w:rsidR="00224C5E" w:rsidRDefault="00224C5E" w:rsidP="00224C5E">
            <w:r>
              <w:t>39</w:t>
            </w:r>
          </w:p>
        </w:tc>
        <w:tc>
          <w:tcPr>
            <w:tcW w:w="718" w:type="dxa"/>
          </w:tcPr>
          <w:p w:rsidR="00224C5E" w:rsidRDefault="00224C5E" w:rsidP="00224C5E">
            <w:r>
              <w:t>11</w:t>
            </w:r>
          </w:p>
        </w:tc>
        <w:tc>
          <w:tcPr>
            <w:tcW w:w="718" w:type="dxa"/>
          </w:tcPr>
          <w:p w:rsidR="00224C5E" w:rsidRDefault="00224C5E" w:rsidP="00224C5E">
            <w:r>
              <w:t>2</w:t>
            </w:r>
          </w:p>
        </w:tc>
        <w:tc>
          <w:tcPr>
            <w:tcW w:w="832" w:type="dxa"/>
          </w:tcPr>
          <w:p w:rsidR="00224C5E" w:rsidRDefault="00224C5E" w:rsidP="00224C5E">
            <w:r>
              <w:t>2</w:t>
            </w:r>
          </w:p>
        </w:tc>
        <w:tc>
          <w:tcPr>
            <w:tcW w:w="4598" w:type="dxa"/>
          </w:tcPr>
          <w:p w:rsidR="00224C5E" w:rsidRDefault="00224C5E" w:rsidP="00224C5E">
            <w:r>
              <w:t xml:space="preserve">Now </w:t>
            </w:r>
            <w:r w:rsidRPr="005942E9">
              <w:rPr>
                <w:b/>
              </w:rPr>
              <w:t>top 2% of schools nationally</w:t>
            </w:r>
          </w:p>
        </w:tc>
      </w:tr>
      <w:tr w:rsidR="00224C5E" w:rsidTr="00224C5E">
        <w:tc>
          <w:tcPr>
            <w:tcW w:w="1677" w:type="dxa"/>
          </w:tcPr>
          <w:p w:rsidR="00224C5E" w:rsidRPr="005942E9" w:rsidRDefault="00224C5E" w:rsidP="00224C5E">
            <w:pPr>
              <w:rPr>
                <w:b/>
              </w:rPr>
            </w:pPr>
            <w:r w:rsidRPr="005942E9">
              <w:rPr>
                <w:b/>
              </w:rPr>
              <w:t>English expected progress (school)</w:t>
            </w:r>
          </w:p>
        </w:tc>
        <w:tc>
          <w:tcPr>
            <w:tcW w:w="699" w:type="dxa"/>
          </w:tcPr>
          <w:p w:rsidR="00224C5E" w:rsidRDefault="00224C5E" w:rsidP="00224C5E">
            <w:r>
              <w:t>64%</w:t>
            </w:r>
          </w:p>
        </w:tc>
        <w:tc>
          <w:tcPr>
            <w:tcW w:w="718" w:type="dxa"/>
          </w:tcPr>
          <w:p w:rsidR="00224C5E" w:rsidRDefault="00224C5E" w:rsidP="00224C5E">
            <w:r>
              <w:t>67%</w:t>
            </w:r>
          </w:p>
        </w:tc>
        <w:tc>
          <w:tcPr>
            <w:tcW w:w="718" w:type="dxa"/>
          </w:tcPr>
          <w:p w:rsidR="00224C5E" w:rsidRDefault="00224C5E" w:rsidP="00224C5E">
            <w:r>
              <w:t>70%</w:t>
            </w:r>
          </w:p>
        </w:tc>
        <w:tc>
          <w:tcPr>
            <w:tcW w:w="832" w:type="dxa"/>
          </w:tcPr>
          <w:p w:rsidR="00224C5E" w:rsidRPr="00224C5E" w:rsidRDefault="00224C5E" w:rsidP="00224C5E">
            <w:r w:rsidRPr="00224C5E">
              <w:t>76%</w:t>
            </w:r>
          </w:p>
        </w:tc>
        <w:tc>
          <w:tcPr>
            <w:tcW w:w="4598" w:type="dxa"/>
          </w:tcPr>
          <w:p w:rsidR="00224C5E" w:rsidRDefault="00224C5E" w:rsidP="00224C5E">
            <w:r w:rsidRPr="00224C5E">
              <w:t>Rising results</w:t>
            </w:r>
            <w:r>
              <w:t xml:space="preserve"> despite national figure falling/highest ever. </w:t>
            </w:r>
            <w:r w:rsidRPr="00224C5E">
              <w:rPr>
                <w:b/>
              </w:rPr>
              <w:t>Top 1% nationally</w:t>
            </w:r>
            <w:r>
              <w:t xml:space="preserve"> for progress</w:t>
            </w:r>
          </w:p>
        </w:tc>
      </w:tr>
      <w:tr w:rsidR="00224C5E" w:rsidTr="00224C5E">
        <w:tc>
          <w:tcPr>
            <w:tcW w:w="1677" w:type="dxa"/>
          </w:tcPr>
          <w:p w:rsidR="00224C5E" w:rsidRDefault="00224C5E" w:rsidP="00224C5E">
            <w:r>
              <w:t>National average</w:t>
            </w:r>
          </w:p>
        </w:tc>
        <w:tc>
          <w:tcPr>
            <w:tcW w:w="699" w:type="dxa"/>
          </w:tcPr>
          <w:p w:rsidR="00224C5E" w:rsidRDefault="00224C5E" w:rsidP="00224C5E">
            <w:r>
              <w:t>72%</w:t>
            </w:r>
          </w:p>
        </w:tc>
        <w:tc>
          <w:tcPr>
            <w:tcW w:w="718" w:type="dxa"/>
          </w:tcPr>
          <w:p w:rsidR="00224C5E" w:rsidRDefault="00224C5E" w:rsidP="00224C5E">
            <w:r>
              <w:t>74%</w:t>
            </w:r>
          </w:p>
        </w:tc>
        <w:tc>
          <w:tcPr>
            <w:tcW w:w="718" w:type="dxa"/>
          </w:tcPr>
          <w:p w:rsidR="00224C5E" w:rsidRDefault="00224C5E" w:rsidP="00224C5E">
            <w:r>
              <w:t>67%</w:t>
            </w:r>
          </w:p>
        </w:tc>
        <w:tc>
          <w:tcPr>
            <w:tcW w:w="832" w:type="dxa"/>
          </w:tcPr>
          <w:p w:rsidR="00224C5E" w:rsidRDefault="00224C5E" w:rsidP="00224C5E">
            <w:r>
              <w:t>70%</w:t>
            </w:r>
          </w:p>
        </w:tc>
        <w:tc>
          <w:tcPr>
            <w:tcW w:w="4598" w:type="dxa"/>
          </w:tcPr>
          <w:p w:rsidR="00224C5E" w:rsidRDefault="00224C5E" w:rsidP="00224C5E"/>
        </w:tc>
      </w:tr>
      <w:tr w:rsidR="00224C5E" w:rsidTr="00224C5E">
        <w:tc>
          <w:tcPr>
            <w:tcW w:w="1677" w:type="dxa"/>
          </w:tcPr>
          <w:p w:rsidR="00224C5E" w:rsidRPr="005942E9" w:rsidRDefault="00224C5E" w:rsidP="00224C5E">
            <w:pPr>
              <w:rPr>
                <w:b/>
              </w:rPr>
            </w:pPr>
            <w:r w:rsidRPr="005942E9">
              <w:rPr>
                <w:b/>
              </w:rPr>
              <w:t>Maths expected progress (school)</w:t>
            </w:r>
          </w:p>
        </w:tc>
        <w:tc>
          <w:tcPr>
            <w:tcW w:w="699" w:type="dxa"/>
          </w:tcPr>
          <w:p w:rsidR="00224C5E" w:rsidRDefault="00224C5E" w:rsidP="00224C5E">
            <w:r>
              <w:t>65%</w:t>
            </w:r>
          </w:p>
        </w:tc>
        <w:tc>
          <w:tcPr>
            <w:tcW w:w="718" w:type="dxa"/>
          </w:tcPr>
          <w:p w:rsidR="00224C5E" w:rsidRDefault="00224C5E" w:rsidP="00224C5E">
            <w:r>
              <w:t>30%</w:t>
            </w:r>
          </w:p>
        </w:tc>
        <w:tc>
          <w:tcPr>
            <w:tcW w:w="718" w:type="dxa"/>
          </w:tcPr>
          <w:p w:rsidR="00224C5E" w:rsidRDefault="00224C5E" w:rsidP="00224C5E">
            <w:r>
              <w:t>66%</w:t>
            </w:r>
          </w:p>
        </w:tc>
        <w:tc>
          <w:tcPr>
            <w:tcW w:w="832" w:type="dxa"/>
          </w:tcPr>
          <w:p w:rsidR="00224C5E" w:rsidRPr="00224C5E" w:rsidRDefault="00224C5E" w:rsidP="00224C5E">
            <w:r w:rsidRPr="00224C5E">
              <w:t>59%</w:t>
            </w:r>
          </w:p>
        </w:tc>
        <w:tc>
          <w:tcPr>
            <w:tcW w:w="4598" w:type="dxa"/>
          </w:tcPr>
          <w:p w:rsidR="00224C5E" w:rsidRPr="00224C5E" w:rsidRDefault="00224C5E" w:rsidP="00224C5E">
            <w:r w:rsidRPr="00224C5E">
              <w:t>Maintained rise since 2011</w:t>
            </w:r>
          </w:p>
        </w:tc>
      </w:tr>
      <w:tr w:rsidR="00224C5E" w:rsidTr="00224C5E">
        <w:tc>
          <w:tcPr>
            <w:tcW w:w="1677" w:type="dxa"/>
          </w:tcPr>
          <w:p w:rsidR="00224C5E" w:rsidRDefault="00224C5E" w:rsidP="00224C5E">
            <w:r>
              <w:t>National average</w:t>
            </w:r>
          </w:p>
        </w:tc>
        <w:tc>
          <w:tcPr>
            <w:tcW w:w="699" w:type="dxa"/>
          </w:tcPr>
          <w:p w:rsidR="00224C5E" w:rsidRDefault="00224C5E" w:rsidP="00224C5E">
            <w:r>
              <w:t>65%</w:t>
            </w:r>
          </w:p>
        </w:tc>
        <w:tc>
          <w:tcPr>
            <w:tcW w:w="718" w:type="dxa"/>
          </w:tcPr>
          <w:p w:rsidR="00224C5E" w:rsidRDefault="00224C5E" w:rsidP="00224C5E">
            <w:r>
              <w:t>66%</w:t>
            </w:r>
          </w:p>
        </w:tc>
        <w:tc>
          <w:tcPr>
            <w:tcW w:w="718" w:type="dxa"/>
          </w:tcPr>
          <w:p w:rsidR="00224C5E" w:rsidRDefault="00224C5E" w:rsidP="00224C5E">
            <w:r>
              <w:t>68%</w:t>
            </w:r>
          </w:p>
        </w:tc>
        <w:tc>
          <w:tcPr>
            <w:tcW w:w="832" w:type="dxa"/>
          </w:tcPr>
          <w:p w:rsidR="00224C5E" w:rsidRDefault="00224C5E" w:rsidP="00224C5E">
            <w:r>
              <w:t>69%</w:t>
            </w:r>
          </w:p>
        </w:tc>
        <w:tc>
          <w:tcPr>
            <w:tcW w:w="4598" w:type="dxa"/>
          </w:tcPr>
          <w:p w:rsidR="00224C5E" w:rsidRDefault="00224C5E" w:rsidP="00224C5E">
            <w:r>
              <w:t>National figure rising</w:t>
            </w:r>
          </w:p>
        </w:tc>
      </w:tr>
      <w:tr w:rsidR="00224C5E" w:rsidTr="00224C5E">
        <w:tc>
          <w:tcPr>
            <w:tcW w:w="1677" w:type="dxa"/>
          </w:tcPr>
          <w:p w:rsidR="00224C5E" w:rsidRPr="005942E9" w:rsidRDefault="00224C5E" w:rsidP="00224C5E">
            <w:pPr>
              <w:rPr>
                <w:b/>
              </w:rPr>
            </w:pPr>
            <w:r w:rsidRPr="005942E9">
              <w:rPr>
                <w:b/>
              </w:rPr>
              <w:t>English Baccalaureate</w:t>
            </w:r>
          </w:p>
        </w:tc>
        <w:tc>
          <w:tcPr>
            <w:tcW w:w="699" w:type="dxa"/>
          </w:tcPr>
          <w:p w:rsidR="00224C5E" w:rsidRDefault="00224C5E" w:rsidP="00224C5E">
            <w:r>
              <w:t>0</w:t>
            </w:r>
          </w:p>
        </w:tc>
        <w:tc>
          <w:tcPr>
            <w:tcW w:w="718" w:type="dxa"/>
          </w:tcPr>
          <w:p w:rsidR="00224C5E" w:rsidRDefault="00224C5E" w:rsidP="00224C5E">
            <w:r>
              <w:t>0</w:t>
            </w:r>
          </w:p>
        </w:tc>
        <w:tc>
          <w:tcPr>
            <w:tcW w:w="718" w:type="dxa"/>
          </w:tcPr>
          <w:p w:rsidR="00224C5E" w:rsidRDefault="00224C5E" w:rsidP="00224C5E">
            <w:r>
              <w:t>0</w:t>
            </w:r>
          </w:p>
        </w:tc>
        <w:tc>
          <w:tcPr>
            <w:tcW w:w="832" w:type="dxa"/>
          </w:tcPr>
          <w:p w:rsidR="00224C5E" w:rsidRDefault="00224C5E" w:rsidP="00224C5E"/>
        </w:tc>
        <w:tc>
          <w:tcPr>
            <w:tcW w:w="4598" w:type="dxa"/>
          </w:tcPr>
          <w:p w:rsidR="00224C5E" w:rsidRDefault="00224C5E" w:rsidP="00224C5E">
            <w:proofErr w:type="spellStart"/>
            <w:r>
              <w:t>Brymore</w:t>
            </w:r>
            <w:proofErr w:type="spellEnd"/>
            <w:r>
              <w:t xml:space="preserve"> does not offer a modern foreign language and therefore results are 0%</w:t>
            </w:r>
          </w:p>
        </w:tc>
      </w:tr>
    </w:tbl>
    <w:p w:rsidR="004729C8" w:rsidRDefault="004729C8"/>
    <w:p w:rsidR="004729C8" w:rsidRDefault="004729C8"/>
    <w:sectPr w:rsidR="004729C8" w:rsidSect="00175A2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729C8"/>
    <w:rsid w:val="000764A0"/>
    <w:rsid w:val="00175A29"/>
    <w:rsid w:val="00224C5E"/>
    <w:rsid w:val="003528A2"/>
    <w:rsid w:val="004729C8"/>
    <w:rsid w:val="00547CB7"/>
    <w:rsid w:val="005942E9"/>
    <w:rsid w:val="00594C4E"/>
    <w:rsid w:val="00760EFB"/>
    <w:rsid w:val="007B11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A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29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29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mark.thomas</dc:creator>
  <cp:lastModifiedBy>Mark</cp:lastModifiedBy>
  <cp:revision>5</cp:revision>
  <dcterms:created xsi:type="dcterms:W3CDTF">2013-01-11T15:22:00Z</dcterms:created>
  <dcterms:modified xsi:type="dcterms:W3CDTF">2014-05-16T06:17:00Z</dcterms:modified>
</cp:coreProperties>
</file>