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48" w:rsidRDefault="00321648" w:rsidP="00321648">
      <w:pPr>
        <w:pStyle w:val="NormalWeb"/>
        <w:shd w:val="clear" w:color="auto" w:fill="FFFFFF"/>
        <w:spacing w:before="0" w:beforeAutospacing="0" w:after="180" w:afterAutospacing="0"/>
        <w:rPr>
          <w:rFonts w:ascii="Calibri" w:hAnsi="Calibri" w:cs="Arial"/>
          <w:color w:val="000000"/>
        </w:rPr>
      </w:pPr>
    </w:p>
    <w:p w:rsidR="00321648" w:rsidRPr="00321648" w:rsidRDefault="00321648" w:rsidP="00321648">
      <w:pPr>
        <w:pStyle w:val="NormalWeb"/>
        <w:shd w:val="clear" w:color="auto" w:fill="FFFFFF"/>
        <w:spacing w:before="0" w:beforeAutospacing="0" w:after="180" w:afterAutospacing="0"/>
        <w:rPr>
          <w:rFonts w:ascii="Calibri" w:hAnsi="Calibri" w:cs="Arial"/>
          <w:b/>
          <w:color w:val="000000"/>
        </w:rPr>
      </w:pPr>
      <w:r>
        <w:rPr>
          <w:rFonts w:ascii="Calibri" w:hAnsi="Calibri" w:cs="Arial"/>
          <w:b/>
          <w:color w:val="000000"/>
        </w:rPr>
        <w:t>Pupil premium</w:t>
      </w:r>
    </w:p>
    <w:p w:rsidR="00321648" w:rsidRPr="00321648" w:rsidRDefault="00321648" w:rsidP="00321648">
      <w:pPr>
        <w:pStyle w:val="NormalWeb"/>
        <w:shd w:val="clear" w:color="auto" w:fill="FFFFFF"/>
        <w:spacing w:before="0" w:beforeAutospacing="0" w:after="180" w:afterAutospacing="0"/>
        <w:rPr>
          <w:rFonts w:ascii="Calibri" w:hAnsi="Calibri" w:cs="Arial"/>
          <w:color w:val="000000"/>
        </w:rPr>
      </w:pPr>
      <w:r w:rsidRPr="00321648">
        <w:rPr>
          <w:rFonts w:ascii="Calibri" w:hAnsi="Calibri" w:cs="Arial"/>
          <w:color w:val="000000"/>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rsidR="00321648" w:rsidRPr="00321648" w:rsidRDefault="00321648" w:rsidP="00321648">
      <w:pPr>
        <w:pStyle w:val="NormalWeb"/>
        <w:shd w:val="clear" w:color="auto" w:fill="FFFFFF"/>
        <w:spacing w:before="0" w:beforeAutospacing="0" w:after="180" w:afterAutospacing="0"/>
        <w:rPr>
          <w:rFonts w:ascii="Calibri" w:hAnsi="Calibri" w:cs="Arial"/>
          <w:color w:val="000000"/>
        </w:rPr>
      </w:pPr>
      <w:r w:rsidRPr="00321648">
        <w:rPr>
          <w:rFonts w:ascii="Calibri" w:hAnsi="Calibri" w:cs="Arial"/>
          <w:color w:val="000000"/>
        </w:rPr>
        <w:t>The Pupil Premium was introduced in April 2011 and is allocated to schools to work with pupils who have been registered for free school meals at any point in the last six years (known</w:t>
      </w:r>
      <w:r w:rsidR="00C915C1">
        <w:rPr>
          <w:rFonts w:ascii="Calibri" w:hAnsi="Calibri" w:cs="Arial"/>
          <w:color w:val="000000"/>
        </w:rPr>
        <w:t xml:space="preserve"> as ‘Ever 6</w:t>
      </w:r>
      <w:r w:rsidR="005947DA">
        <w:rPr>
          <w:rFonts w:ascii="Calibri" w:hAnsi="Calibri" w:cs="Arial"/>
          <w:color w:val="000000"/>
        </w:rPr>
        <w:t xml:space="preserve"> FSM’).</w:t>
      </w:r>
    </w:p>
    <w:p w:rsidR="00321648" w:rsidRPr="00321648" w:rsidRDefault="00321648" w:rsidP="00321648">
      <w:pPr>
        <w:pStyle w:val="NormalWeb"/>
        <w:shd w:val="clear" w:color="auto" w:fill="FFFFFF"/>
        <w:spacing w:before="0" w:beforeAutospacing="0" w:after="180" w:afterAutospacing="0"/>
        <w:rPr>
          <w:rFonts w:ascii="Calibri" w:hAnsi="Calibri" w:cs="Arial"/>
          <w:color w:val="000000"/>
        </w:rPr>
      </w:pPr>
      <w:r w:rsidRPr="00321648">
        <w:rPr>
          <w:rFonts w:ascii="Calibri" w:hAnsi="Calibri" w:cs="Arial"/>
          <w:color w:val="000000"/>
        </w:rPr>
        <w:t>Schools also receive funding for children who have been looked after continuously for more than six months, and children of service personnel.</w:t>
      </w:r>
    </w:p>
    <w:p w:rsidR="00321648" w:rsidRPr="00321648" w:rsidRDefault="00321648" w:rsidP="00321648">
      <w:pPr>
        <w:rPr>
          <w:rFonts w:ascii="Calibri" w:hAnsi="Calibri"/>
          <w:sz w:val="24"/>
          <w:szCs w:val="24"/>
        </w:rPr>
      </w:pPr>
      <w:r w:rsidRPr="00321648">
        <w:rPr>
          <w:rFonts w:ascii="Calibri" w:hAnsi="Calibri"/>
          <w:sz w:val="24"/>
          <w:szCs w:val="24"/>
        </w:rPr>
        <w:t xml:space="preserve">The Pupil Premium has a number of wider aims: </w:t>
      </w:r>
    </w:p>
    <w:p w:rsidR="00321648" w:rsidRPr="00321648" w:rsidRDefault="00321648" w:rsidP="00321648">
      <w:pPr>
        <w:rPr>
          <w:rFonts w:ascii="Calibri" w:hAnsi="Calibri"/>
          <w:sz w:val="24"/>
          <w:szCs w:val="24"/>
        </w:rPr>
      </w:pPr>
      <w:r w:rsidRPr="00321648">
        <w:rPr>
          <w:rFonts w:ascii="Calibri" w:hAnsi="Calibri"/>
          <w:sz w:val="24"/>
          <w:szCs w:val="24"/>
        </w:rPr>
        <w:t xml:space="preserve">• </w:t>
      </w:r>
      <w:r w:rsidR="000B752A" w:rsidRPr="00321648">
        <w:rPr>
          <w:rFonts w:ascii="Calibri" w:hAnsi="Calibri"/>
          <w:sz w:val="24"/>
          <w:szCs w:val="24"/>
        </w:rPr>
        <w:t>To</w:t>
      </w:r>
      <w:r w:rsidRPr="00321648">
        <w:rPr>
          <w:rFonts w:ascii="Calibri" w:hAnsi="Calibri"/>
          <w:sz w:val="24"/>
          <w:szCs w:val="24"/>
        </w:rPr>
        <w:t xml:space="preserve"> increase social mobility; </w:t>
      </w:r>
    </w:p>
    <w:p w:rsidR="00321648" w:rsidRPr="00321648" w:rsidRDefault="00321648" w:rsidP="00321648">
      <w:pPr>
        <w:rPr>
          <w:rFonts w:ascii="Calibri" w:hAnsi="Calibri"/>
          <w:sz w:val="24"/>
          <w:szCs w:val="24"/>
        </w:rPr>
      </w:pPr>
      <w:r w:rsidRPr="00321648">
        <w:rPr>
          <w:rFonts w:ascii="Calibri" w:hAnsi="Calibri"/>
          <w:sz w:val="24"/>
          <w:szCs w:val="24"/>
        </w:rPr>
        <w:t xml:space="preserve">• </w:t>
      </w:r>
      <w:r w:rsidR="000B752A" w:rsidRPr="00321648">
        <w:rPr>
          <w:rFonts w:ascii="Calibri" w:hAnsi="Calibri"/>
          <w:sz w:val="24"/>
          <w:szCs w:val="24"/>
        </w:rPr>
        <w:t>To</w:t>
      </w:r>
      <w:r w:rsidRPr="00321648">
        <w:rPr>
          <w:rFonts w:ascii="Calibri" w:hAnsi="Calibri"/>
          <w:sz w:val="24"/>
          <w:szCs w:val="24"/>
        </w:rPr>
        <w:t xml:space="preserve"> enable more pupils from disadvantaged backgrounds to get to the top universities; </w:t>
      </w:r>
    </w:p>
    <w:p w:rsidR="00321648" w:rsidRDefault="00321648" w:rsidP="00321648">
      <w:pPr>
        <w:rPr>
          <w:rFonts w:ascii="Calibri" w:hAnsi="Calibri"/>
          <w:sz w:val="24"/>
          <w:szCs w:val="24"/>
        </w:rPr>
      </w:pPr>
      <w:r w:rsidRPr="00321648">
        <w:rPr>
          <w:rFonts w:ascii="Calibri" w:hAnsi="Calibri"/>
          <w:sz w:val="24"/>
          <w:szCs w:val="24"/>
        </w:rPr>
        <w:t xml:space="preserve">• </w:t>
      </w:r>
      <w:r w:rsidR="000B752A" w:rsidRPr="00321648">
        <w:rPr>
          <w:rFonts w:ascii="Calibri" w:hAnsi="Calibri"/>
          <w:sz w:val="24"/>
          <w:szCs w:val="24"/>
        </w:rPr>
        <w:t>To</w:t>
      </w:r>
      <w:r w:rsidRPr="00321648">
        <w:rPr>
          <w:rFonts w:ascii="Calibri" w:hAnsi="Calibri"/>
          <w:sz w:val="24"/>
          <w:szCs w:val="24"/>
        </w:rPr>
        <w:t xml:space="preserve"> reduce the attainment gap between the highest and lowest achieving pupils nationally.</w:t>
      </w:r>
    </w:p>
    <w:p w:rsidR="00321648" w:rsidRDefault="00321648" w:rsidP="00321648">
      <w:pPr>
        <w:rPr>
          <w:rFonts w:ascii="Calibri" w:hAnsi="Calibri"/>
          <w:sz w:val="24"/>
          <w:szCs w:val="24"/>
        </w:rPr>
      </w:pPr>
      <w:r>
        <w:rPr>
          <w:rFonts w:ascii="Calibri" w:hAnsi="Calibri"/>
          <w:sz w:val="24"/>
          <w:szCs w:val="24"/>
        </w:rPr>
        <w:t>At Brymore due to the relatively small numbers of students, the pupil premium payment is low compared to other schools. In reality this means that additional funding is often used to supplement the necessary support required</w:t>
      </w:r>
      <w:r w:rsidR="005947DA">
        <w:rPr>
          <w:rFonts w:ascii="Calibri" w:hAnsi="Calibri"/>
          <w:sz w:val="24"/>
          <w:szCs w:val="24"/>
        </w:rPr>
        <w:t xml:space="preserve">. We aim to provide a tailored approach, using a variety of support mechanisms to ensure each individual is catered for. This personalised support can include some of the strategies listed below although this list is by no means exhaustive. The focus is very much on raising achievement rather than supporting extra </w:t>
      </w:r>
      <w:r w:rsidR="00D426E3">
        <w:rPr>
          <w:rFonts w:ascii="Calibri" w:hAnsi="Calibri"/>
          <w:sz w:val="24"/>
          <w:szCs w:val="24"/>
        </w:rPr>
        <w:t>-</w:t>
      </w:r>
      <w:r w:rsidR="005947DA">
        <w:rPr>
          <w:rFonts w:ascii="Calibri" w:hAnsi="Calibri"/>
          <w:sz w:val="24"/>
          <w:szCs w:val="24"/>
        </w:rPr>
        <w:t>curricular social activities, as</w:t>
      </w:r>
      <w:r w:rsidR="00D426E3">
        <w:rPr>
          <w:rFonts w:ascii="Calibri" w:hAnsi="Calibri"/>
          <w:sz w:val="24"/>
          <w:szCs w:val="24"/>
        </w:rPr>
        <w:t xml:space="preserve"> the school provides extensive provision al</w:t>
      </w:r>
      <w:r w:rsidR="00614907">
        <w:rPr>
          <w:rFonts w:ascii="Calibri" w:hAnsi="Calibri"/>
          <w:sz w:val="24"/>
          <w:szCs w:val="24"/>
        </w:rPr>
        <w:t>r</w:t>
      </w:r>
      <w:r w:rsidR="00D426E3">
        <w:rPr>
          <w:rFonts w:ascii="Calibri" w:hAnsi="Calibri"/>
          <w:sz w:val="24"/>
          <w:szCs w:val="24"/>
        </w:rPr>
        <w:t>eady.</w:t>
      </w:r>
      <w:r w:rsidR="000B752A">
        <w:rPr>
          <w:rFonts w:ascii="Calibri" w:hAnsi="Calibri"/>
          <w:sz w:val="24"/>
          <w:szCs w:val="24"/>
        </w:rPr>
        <w:t xml:space="preserve"> However social development, especially the development of self- esteem and improved behaviour are seen as key drivers in raising achievement for some students.</w:t>
      </w:r>
    </w:p>
    <w:p w:rsidR="005947DA" w:rsidRDefault="005947DA" w:rsidP="00321648">
      <w:pPr>
        <w:rPr>
          <w:rFonts w:ascii="Calibri" w:hAnsi="Calibri"/>
          <w:sz w:val="24"/>
          <w:szCs w:val="24"/>
        </w:rPr>
      </w:pPr>
      <w:r>
        <w:rPr>
          <w:rFonts w:ascii="Calibri" w:hAnsi="Calibri"/>
          <w:sz w:val="24"/>
          <w:szCs w:val="24"/>
        </w:rPr>
        <w:t>Data is analysed every six weeks to ensure students who receive pupil premium funding are making the expected progress in line with all other students in the school. However drawing meaningful conclusions from a statistical analysis is often difficult due to the low numbers involved in each cohort.</w:t>
      </w:r>
      <w:r w:rsidR="00614907">
        <w:rPr>
          <w:rFonts w:ascii="Calibri" w:hAnsi="Calibri"/>
          <w:sz w:val="24"/>
          <w:szCs w:val="24"/>
        </w:rPr>
        <w:t xml:space="preserve"> A detailed progress report is however prepared for each student.</w:t>
      </w:r>
    </w:p>
    <w:p w:rsidR="005947DA" w:rsidRDefault="00D34625" w:rsidP="00321648">
      <w:pPr>
        <w:rPr>
          <w:rFonts w:ascii="Calibri" w:hAnsi="Calibri"/>
          <w:sz w:val="24"/>
          <w:szCs w:val="24"/>
        </w:rPr>
      </w:pPr>
      <w:r>
        <w:rPr>
          <w:rFonts w:ascii="Calibri" w:hAnsi="Calibri"/>
          <w:sz w:val="24"/>
          <w:szCs w:val="24"/>
        </w:rPr>
        <w:t xml:space="preserve">School analysis reveals that there is a correlation between pupil premium students and </w:t>
      </w:r>
      <w:proofErr w:type="spellStart"/>
      <w:r>
        <w:rPr>
          <w:rFonts w:ascii="Calibri" w:hAnsi="Calibri"/>
          <w:sz w:val="24"/>
          <w:szCs w:val="24"/>
        </w:rPr>
        <w:t>outboarders</w:t>
      </w:r>
      <w:proofErr w:type="spellEnd"/>
      <w:r>
        <w:rPr>
          <w:rFonts w:ascii="Calibri" w:hAnsi="Calibri"/>
          <w:sz w:val="24"/>
          <w:szCs w:val="24"/>
        </w:rPr>
        <w:t xml:space="preserve">. We therefore also include </w:t>
      </w:r>
      <w:proofErr w:type="spellStart"/>
      <w:r>
        <w:rPr>
          <w:rFonts w:ascii="Calibri" w:hAnsi="Calibri"/>
          <w:sz w:val="24"/>
          <w:szCs w:val="24"/>
        </w:rPr>
        <w:t>outboarders</w:t>
      </w:r>
      <w:proofErr w:type="spellEnd"/>
      <w:r>
        <w:rPr>
          <w:rFonts w:ascii="Calibri" w:hAnsi="Calibri"/>
          <w:sz w:val="24"/>
          <w:szCs w:val="24"/>
        </w:rPr>
        <w:t xml:space="preserve"> as a distinct group when analysing data and a number of strategies implemented have been aimed at both groups. This includes </w:t>
      </w:r>
      <w:proofErr w:type="spellStart"/>
      <w:r>
        <w:rPr>
          <w:rFonts w:ascii="Calibri" w:hAnsi="Calibri"/>
          <w:sz w:val="24"/>
          <w:szCs w:val="24"/>
        </w:rPr>
        <w:t>outboarders</w:t>
      </w:r>
      <w:proofErr w:type="spellEnd"/>
      <w:r>
        <w:rPr>
          <w:rFonts w:ascii="Calibri" w:hAnsi="Calibri"/>
          <w:sz w:val="24"/>
          <w:szCs w:val="24"/>
        </w:rPr>
        <w:t xml:space="preserve"> being encouraged to stay for prep on key nights, attending revision sessions after school and every student has a moving on interview with the </w:t>
      </w:r>
      <w:proofErr w:type="spellStart"/>
      <w:r>
        <w:rPr>
          <w:rFonts w:ascii="Calibri" w:hAnsi="Calibri"/>
          <w:sz w:val="24"/>
          <w:szCs w:val="24"/>
        </w:rPr>
        <w:t>Headteacher</w:t>
      </w:r>
      <w:proofErr w:type="spellEnd"/>
      <w:r>
        <w:rPr>
          <w:rFonts w:ascii="Calibri" w:hAnsi="Calibri"/>
          <w:sz w:val="24"/>
          <w:szCs w:val="24"/>
        </w:rPr>
        <w:t xml:space="preserve"> to ensure aspirations are high.</w:t>
      </w:r>
      <w:bookmarkStart w:id="0" w:name="_GoBack"/>
      <w:bookmarkEnd w:id="0"/>
    </w:p>
    <w:p w:rsidR="005947DA" w:rsidRDefault="005947DA" w:rsidP="00321648">
      <w:pPr>
        <w:rPr>
          <w:rFonts w:ascii="Calibri" w:hAnsi="Calibri"/>
          <w:sz w:val="24"/>
          <w:szCs w:val="24"/>
        </w:rPr>
      </w:pPr>
    </w:p>
    <w:tbl>
      <w:tblPr>
        <w:tblStyle w:val="TableGrid"/>
        <w:tblW w:w="0" w:type="auto"/>
        <w:tblLook w:val="04A0"/>
      </w:tblPr>
      <w:tblGrid>
        <w:gridCol w:w="3080"/>
        <w:gridCol w:w="3081"/>
        <w:gridCol w:w="3081"/>
      </w:tblGrid>
      <w:tr w:rsidR="003F64B6" w:rsidTr="00921B1B">
        <w:tc>
          <w:tcPr>
            <w:tcW w:w="9242" w:type="dxa"/>
            <w:gridSpan w:val="3"/>
          </w:tcPr>
          <w:p w:rsidR="003F64B6" w:rsidRPr="0034656E" w:rsidRDefault="003F64B6" w:rsidP="00321648">
            <w:pPr>
              <w:rPr>
                <w:rFonts w:ascii="Calibri" w:hAnsi="Calibri"/>
                <w:b/>
                <w:sz w:val="20"/>
                <w:szCs w:val="20"/>
              </w:rPr>
            </w:pPr>
            <w:r w:rsidRPr="0034656E">
              <w:rPr>
                <w:rFonts w:ascii="Calibri" w:hAnsi="Calibri"/>
                <w:b/>
                <w:sz w:val="20"/>
                <w:szCs w:val="20"/>
              </w:rPr>
              <w:lastRenderedPageBreak/>
              <w:t>Year 2011-12</w:t>
            </w:r>
          </w:p>
        </w:tc>
      </w:tr>
      <w:tr w:rsidR="003F64B6" w:rsidTr="003F64B6">
        <w:tc>
          <w:tcPr>
            <w:tcW w:w="3080" w:type="dxa"/>
          </w:tcPr>
          <w:p w:rsidR="003F64B6" w:rsidRPr="0034656E" w:rsidRDefault="003F64B6" w:rsidP="00321648">
            <w:pPr>
              <w:rPr>
                <w:rFonts w:ascii="Calibri" w:hAnsi="Calibri"/>
                <w:b/>
                <w:sz w:val="20"/>
                <w:szCs w:val="20"/>
              </w:rPr>
            </w:pPr>
            <w:r w:rsidRPr="0034656E">
              <w:rPr>
                <w:rFonts w:ascii="Calibri" w:hAnsi="Calibri"/>
                <w:b/>
                <w:sz w:val="20"/>
                <w:szCs w:val="20"/>
              </w:rPr>
              <w:t>Budget</w:t>
            </w:r>
          </w:p>
        </w:tc>
        <w:tc>
          <w:tcPr>
            <w:tcW w:w="3081" w:type="dxa"/>
          </w:tcPr>
          <w:p w:rsidR="003F64B6" w:rsidRPr="0034656E" w:rsidRDefault="003F64B6" w:rsidP="00321648">
            <w:pPr>
              <w:rPr>
                <w:rFonts w:ascii="Calibri" w:hAnsi="Calibri"/>
                <w:b/>
                <w:sz w:val="20"/>
                <w:szCs w:val="20"/>
              </w:rPr>
            </w:pPr>
            <w:r w:rsidRPr="0034656E">
              <w:rPr>
                <w:rFonts w:ascii="Calibri" w:hAnsi="Calibri"/>
                <w:b/>
                <w:sz w:val="20"/>
                <w:szCs w:val="20"/>
              </w:rPr>
              <w:t>Strategies</w:t>
            </w:r>
          </w:p>
        </w:tc>
        <w:tc>
          <w:tcPr>
            <w:tcW w:w="3081" w:type="dxa"/>
          </w:tcPr>
          <w:p w:rsidR="003F64B6" w:rsidRPr="0034656E" w:rsidRDefault="003F64B6" w:rsidP="00321648">
            <w:pPr>
              <w:rPr>
                <w:rFonts w:ascii="Calibri" w:hAnsi="Calibri"/>
                <w:b/>
                <w:sz w:val="20"/>
                <w:szCs w:val="20"/>
              </w:rPr>
            </w:pPr>
            <w:r w:rsidRPr="0034656E">
              <w:rPr>
                <w:rFonts w:ascii="Calibri" w:hAnsi="Calibri"/>
                <w:b/>
                <w:sz w:val="20"/>
                <w:szCs w:val="20"/>
              </w:rPr>
              <w:t>Outcomes</w:t>
            </w:r>
          </w:p>
        </w:tc>
      </w:tr>
      <w:tr w:rsidR="003F64B6" w:rsidTr="003F64B6">
        <w:tc>
          <w:tcPr>
            <w:tcW w:w="3080" w:type="dxa"/>
          </w:tcPr>
          <w:p w:rsidR="003F64B6" w:rsidRPr="0034656E" w:rsidRDefault="003F64B6" w:rsidP="00321648">
            <w:pPr>
              <w:rPr>
                <w:rFonts w:ascii="Calibri" w:hAnsi="Calibri"/>
                <w:sz w:val="20"/>
                <w:szCs w:val="20"/>
              </w:rPr>
            </w:pPr>
            <w:r w:rsidRPr="0034656E">
              <w:rPr>
                <w:rFonts w:ascii="Calibri" w:hAnsi="Calibri"/>
                <w:sz w:val="20"/>
                <w:szCs w:val="20"/>
              </w:rPr>
              <w:t>£3328 (7 students)</w:t>
            </w:r>
          </w:p>
        </w:tc>
        <w:tc>
          <w:tcPr>
            <w:tcW w:w="3081" w:type="dxa"/>
          </w:tcPr>
          <w:p w:rsidR="003F64B6" w:rsidRPr="0034656E" w:rsidRDefault="003F64B6" w:rsidP="00321648">
            <w:pPr>
              <w:rPr>
                <w:rFonts w:ascii="Calibri" w:hAnsi="Calibri"/>
                <w:sz w:val="20"/>
                <w:szCs w:val="20"/>
              </w:rPr>
            </w:pPr>
            <w:r w:rsidRPr="0034656E">
              <w:rPr>
                <w:rFonts w:ascii="Calibri" w:hAnsi="Calibri"/>
                <w:sz w:val="20"/>
                <w:szCs w:val="20"/>
              </w:rPr>
              <w:t>Corrective reading/literacy support (Year 9)</w:t>
            </w:r>
          </w:p>
          <w:p w:rsidR="003F64B6" w:rsidRPr="0034656E" w:rsidRDefault="003F64B6" w:rsidP="00321648">
            <w:pPr>
              <w:rPr>
                <w:rFonts w:ascii="Calibri" w:hAnsi="Calibri"/>
                <w:sz w:val="20"/>
                <w:szCs w:val="20"/>
              </w:rPr>
            </w:pPr>
            <w:r w:rsidRPr="0034656E">
              <w:rPr>
                <w:rFonts w:ascii="Calibri" w:hAnsi="Calibri"/>
                <w:sz w:val="20"/>
                <w:szCs w:val="20"/>
              </w:rPr>
              <w:t>Academic mentoring (Year 10/11)</w:t>
            </w:r>
          </w:p>
          <w:p w:rsidR="003F64B6" w:rsidRPr="0034656E" w:rsidRDefault="003F64B6" w:rsidP="00321648">
            <w:pPr>
              <w:rPr>
                <w:rFonts w:ascii="Calibri" w:hAnsi="Calibri"/>
                <w:sz w:val="20"/>
                <w:szCs w:val="20"/>
              </w:rPr>
            </w:pPr>
            <w:r w:rsidRPr="0034656E">
              <w:rPr>
                <w:rFonts w:ascii="Calibri" w:hAnsi="Calibri"/>
                <w:sz w:val="20"/>
                <w:szCs w:val="20"/>
              </w:rPr>
              <w:t>Additional maths and English classes (Year 11)</w:t>
            </w:r>
          </w:p>
          <w:p w:rsidR="003F64B6" w:rsidRPr="0034656E" w:rsidRDefault="003F64B6" w:rsidP="00321648">
            <w:pPr>
              <w:rPr>
                <w:rFonts w:ascii="Calibri" w:hAnsi="Calibri"/>
                <w:sz w:val="20"/>
                <w:szCs w:val="20"/>
              </w:rPr>
            </w:pPr>
            <w:r w:rsidRPr="0034656E">
              <w:rPr>
                <w:rFonts w:ascii="Calibri" w:hAnsi="Calibri"/>
                <w:sz w:val="20"/>
                <w:szCs w:val="20"/>
              </w:rPr>
              <w:t>Additional prep support (Years 9,10,11)</w:t>
            </w:r>
          </w:p>
        </w:tc>
        <w:tc>
          <w:tcPr>
            <w:tcW w:w="3081" w:type="dxa"/>
          </w:tcPr>
          <w:p w:rsidR="003F64B6" w:rsidRPr="0034656E" w:rsidRDefault="00524F22" w:rsidP="00321648">
            <w:pPr>
              <w:rPr>
                <w:rFonts w:ascii="Calibri" w:hAnsi="Calibri"/>
                <w:sz w:val="20"/>
                <w:szCs w:val="20"/>
              </w:rPr>
            </w:pPr>
            <w:r w:rsidRPr="0034656E">
              <w:rPr>
                <w:rFonts w:ascii="Calibri" w:hAnsi="Calibri"/>
                <w:sz w:val="20"/>
                <w:szCs w:val="20"/>
              </w:rPr>
              <w:t>Year 11 VA</w:t>
            </w:r>
            <w:r w:rsidR="00C915C1" w:rsidRPr="0034656E">
              <w:rPr>
                <w:rFonts w:ascii="Calibri" w:hAnsi="Calibri"/>
                <w:sz w:val="20"/>
                <w:szCs w:val="20"/>
              </w:rPr>
              <w:t xml:space="preserve"> (PP students)</w:t>
            </w:r>
            <w:r w:rsidRPr="0034656E">
              <w:rPr>
                <w:rFonts w:ascii="Calibri" w:hAnsi="Calibri"/>
                <w:sz w:val="20"/>
                <w:szCs w:val="20"/>
              </w:rPr>
              <w:t xml:space="preserve"> – 949.9</w:t>
            </w:r>
          </w:p>
          <w:p w:rsidR="00C915C1" w:rsidRPr="0034656E" w:rsidRDefault="00C915C1" w:rsidP="00321648">
            <w:pPr>
              <w:rPr>
                <w:rFonts w:ascii="Calibri" w:hAnsi="Calibri"/>
                <w:sz w:val="20"/>
                <w:szCs w:val="20"/>
              </w:rPr>
            </w:pPr>
            <w:r w:rsidRPr="0034656E">
              <w:rPr>
                <w:rFonts w:ascii="Calibri" w:hAnsi="Calibri"/>
                <w:sz w:val="20"/>
                <w:szCs w:val="20"/>
              </w:rPr>
              <w:t>School – 1010.3</w:t>
            </w:r>
          </w:p>
          <w:p w:rsidR="00524F22" w:rsidRPr="0034656E" w:rsidRDefault="00524F22" w:rsidP="00321648">
            <w:pPr>
              <w:rPr>
                <w:rFonts w:ascii="Calibri" w:hAnsi="Calibri"/>
                <w:sz w:val="20"/>
                <w:szCs w:val="20"/>
              </w:rPr>
            </w:pPr>
            <w:r w:rsidRPr="0034656E">
              <w:rPr>
                <w:rFonts w:ascii="Calibri" w:hAnsi="Calibri"/>
                <w:sz w:val="20"/>
                <w:szCs w:val="20"/>
              </w:rPr>
              <w:t>National – 981.6</w:t>
            </w:r>
          </w:p>
          <w:p w:rsidR="00524F22" w:rsidRPr="0034656E" w:rsidRDefault="000B752A" w:rsidP="00321648">
            <w:pPr>
              <w:rPr>
                <w:rFonts w:ascii="Calibri" w:hAnsi="Calibri"/>
                <w:sz w:val="20"/>
                <w:szCs w:val="20"/>
              </w:rPr>
            </w:pPr>
            <w:r w:rsidRPr="0034656E">
              <w:rPr>
                <w:rFonts w:ascii="Calibri" w:hAnsi="Calibri"/>
                <w:sz w:val="20"/>
                <w:szCs w:val="20"/>
              </w:rPr>
              <w:t>All students went on to further education.</w:t>
            </w:r>
          </w:p>
          <w:p w:rsidR="00524F22" w:rsidRPr="0034656E" w:rsidRDefault="00524F22" w:rsidP="000B752A">
            <w:pPr>
              <w:rPr>
                <w:rFonts w:ascii="Calibri" w:hAnsi="Calibri"/>
                <w:sz w:val="20"/>
                <w:szCs w:val="20"/>
              </w:rPr>
            </w:pPr>
            <w:r w:rsidRPr="0034656E">
              <w:rPr>
                <w:rFonts w:ascii="Calibri" w:hAnsi="Calibri"/>
                <w:sz w:val="20"/>
                <w:szCs w:val="20"/>
              </w:rPr>
              <w:t>FSM students were the only group below national average in the school</w:t>
            </w:r>
            <w:r w:rsidR="000B752A" w:rsidRPr="0034656E">
              <w:rPr>
                <w:rFonts w:ascii="Calibri" w:hAnsi="Calibri"/>
                <w:sz w:val="20"/>
                <w:szCs w:val="20"/>
              </w:rPr>
              <w:t xml:space="preserve">. </w:t>
            </w:r>
          </w:p>
        </w:tc>
      </w:tr>
      <w:tr w:rsidR="003F64B6" w:rsidTr="00D865AC">
        <w:tc>
          <w:tcPr>
            <w:tcW w:w="9242" w:type="dxa"/>
            <w:gridSpan w:val="3"/>
          </w:tcPr>
          <w:p w:rsidR="003F64B6" w:rsidRPr="0034656E" w:rsidRDefault="003F64B6" w:rsidP="00321648">
            <w:pPr>
              <w:rPr>
                <w:rFonts w:ascii="Calibri" w:hAnsi="Calibri"/>
                <w:b/>
                <w:sz w:val="20"/>
                <w:szCs w:val="20"/>
              </w:rPr>
            </w:pPr>
            <w:r w:rsidRPr="0034656E">
              <w:rPr>
                <w:rFonts w:ascii="Calibri" w:hAnsi="Calibri"/>
                <w:b/>
                <w:sz w:val="20"/>
                <w:szCs w:val="20"/>
              </w:rPr>
              <w:t>Year 2012-13</w:t>
            </w:r>
          </w:p>
        </w:tc>
      </w:tr>
      <w:tr w:rsidR="003F64B6" w:rsidTr="003F64B6">
        <w:tc>
          <w:tcPr>
            <w:tcW w:w="3080" w:type="dxa"/>
          </w:tcPr>
          <w:p w:rsidR="003F64B6" w:rsidRPr="0034656E" w:rsidRDefault="003F64B6" w:rsidP="00321648">
            <w:pPr>
              <w:rPr>
                <w:rFonts w:ascii="Calibri" w:hAnsi="Calibri"/>
                <w:b/>
                <w:sz w:val="20"/>
                <w:szCs w:val="20"/>
              </w:rPr>
            </w:pPr>
            <w:r w:rsidRPr="0034656E">
              <w:rPr>
                <w:rFonts w:ascii="Calibri" w:hAnsi="Calibri"/>
                <w:b/>
                <w:sz w:val="20"/>
                <w:szCs w:val="20"/>
              </w:rPr>
              <w:t>Budget</w:t>
            </w:r>
          </w:p>
        </w:tc>
        <w:tc>
          <w:tcPr>
            <w:tcW w:w="3081" w:type="dxa"/>
          </w:tcPr>
          <w:p w:rsidR="003F64B6" w:rsidRPr="0034656E" w:rsidRDefault="003F64B6" w:rsidP="00321648">
            <w:pPr>
              <w:rPr>
                <w:rFonts w:ascii="Calibri" w:hAnsi="Calibri"/>
                <w:b/>
                <w:sz w:val="20"/>
                <w:szCs w:val="20"/>
              </w:rPr>
            </w:pPr>
            <w:r w:rsidRPr="0034656E">
              <w:rPr>
                <w:rFonts w:ascii="Calibri" w:hAnsi="Calibri"/>
                <w:b/>
                <w:sz w:val="20"/>
                <w:szCs w:val="20"/>
              </w:rPr>
              <w:t>Strategies</w:t>
            </w:r>
          </w:p>
        </w:tc>
        <w:tc>
          <w:tcPr>
            <w:tcW w:w="3081" w:type="dxa"/>
          </w:tcPr>
          <w:p w:rsidR="003F64B6" w:rsidRPr="0034656E" w:rsidRDefault="003F64B6" w:rsidP="00321648">
            <w:pPr>
              <w:rPr>
                <w:rFonts w:ascii="Calibri" w:hAnsi="Calibri"/>
                <w:b/>
                <w:sz w:val="20"/>
                <w:szCs w:val="20"/>
              </w:rPr>
            </w:pPr>
            <w:r w:rsidRPr="0034656E">
              <w:rPr>
                <w:rFonts w:ascii="Calibri" w:hAnsi="Calibri"/>
                <w:b/>
                <w:sz w:val="20"/>
                <w:szCs w:val="20"/>
              </w:rPr>
              <w:t>Outcomes</w:t>
            </w:r>
          </w:p>
        </w:tc>
      </w:tr>
      <w:tr w:rsidR="003F64B6" w:rsidTr="003F64B6">
        <w:tc>
          <w:tcPr>
            <w:tcW w:w="3080" w:type="dxa"/>
          </w:tcPr>
          <w:p w:rsidR="003F64B6" w:rsidRPr="0034656E" w:rsidRDefault="003F64B6" w:rsidP="00321648">
            <w:pPr>
              <w:rPr>
                <w:rFonts w:ascii="Calibri" w:hAnsi="Calibri"/>
                <w:sz w:val="20"/>
                <w:szCs w:val="20"/>
              </w:rPr>
            </w:pPr>
            <w:r w:rsidRPr="0034656E">
              <w:rPr>
                <w:rFonts w:ascii="Calibri" w:hAnsi="Calibri"/>
                <w:sz w:val="20"/>
                <w:szCs w:val="20"/>
              </w:rPr>
              <w:t>£14 257 (22 students)</w:t>
            </w:r>
          </w:p>
        </w:tc>
        <w:tc>
          <w:tcPr>
            <w:tcW w:w="3081" w:type="dxa"/>
          </w:tcPr>
          <w:p w:rsidR="003F64B6" w:rsidRPr="0034656E" w:rsidRDefault="003F64B6" w:rsidP="003F64B6">
            <w:pPr>
              <w:rPr>
                <w:rFonts w:ascii="Calibri" w:hAnsi="Calibri"/>
                <w:sz w:val="20"/>
                <w:szCs w:val="20"/>
              </w:rPr>
            </w:pPr>
            <w:r w:rsidRPr="0034656E">
              <w:rPr>
                <w:rFonts w:ascii="Calibri" w:hAnsi="Calibri"/>
                <w:sz w:val="20"/>
                <w:szCs w:val="20"/>
              </w:rPr>
              <w:t>Corrective reading/literacy support</w:t>
            </w:r>
            <w:r w:rsidR="00C915C1" w:rsidRPr="0034656E">
              <w:rPr>
                <w:rFonts w:ascii="Calibri" w:hAnsi="Calibri"/>
                <w:sz w:val="20"/>
                <w:szCs w:val="20"/>
              </w:rPr>
              <w:t>, including individualised literacy intervention</w:t>
            </w:r>
            <w:r w:rsidRPr="0034656E">
              <w:rPr>
                <w:rFonts w:ascii="Calibri" w:hAnsi="Calibri"/>
                <w:sz w:val="20"/>
                <w:szCs w:val="20"/>
              </w:rPr>
              <w:t xml:space="preserve"> (Year 9)</w:t>
            </w:r>
          </w:p>
          <w:p w:rsidR="003F64B6" w:rsidRPr="0034656E" w:rsidRDefault="003F64B6" w:rsidP="003F64B6">
            <w:pPr>
              <w:rPr>
                <w:rFonts w:ascii="Calibri" w:hAnsi="Calibri"/>
                <w:sz w:val="20"/>
                <w:szCs w:val="20"/>
              </w:rPr>
            </w:pPr>
            <w:r w:rsidRPr="0034656E">
              <w:rPr>
                <w:rFonts w:ascii="Calibri" w:hAnsi="Calibri"/>
                <w:sz w:val="20"/>
                <w:szCs w:val="20"/>
              </w:rPr>
              <w:t xml:space="preserve">Academic mentoring (Year </w:t>
            </w:r>
            <w:r w:rsidR="000859DA" w:rsidRPr="0034656E">
              <w:rPr>
                <w:rFonts w:ascii="Calibri" w:hAnsi="Calibri"/>
                <w:sz w:val="20"/>
                <w:szCs w:val="20"/>
              </w:rPr>
              <w:t>9,10,</w:t>
            </w:r>
            <w:r w:rsidRPr="0034656E">
              <w:rPr>
                <w:rFonts w:ascii="Calibri" w:hAnsi="Calibri"/>
                <w:sz w:val="20"/>
                <w:szCs w:val="20"/>
              </w:rPr>
              <w:t>11)</w:t>
            </w:r>
          </w:p>
          <w:p w:rsidR="003F64B6" w:rsidRPr="0034656E" w:rsidRDefault="003F64B6" w:rsidP="003F64B6">
            <w:pPr>
              <w:rPr>
                <w:rFonts w:ascii="Calibri" w:hAnsi="Calibri"/>
                <w:sz w:val="20"/>
                <w:szCs w:val="20"/>
              </w:rPr>
            </w:pPr>
            <w:r w:rsidRPr="0034656E">
              <w:rPr>
                <w:rFonts w:ascii="Calibri" w:hAnsi="Calibri"/>
                <w:sz w:val="20"/>
                <w:szCs w:val="20"/>
              </w:rPr>
              <w:t>Addit</w:t>
            </w:r>
            <w:r w:rsidR="00C915C1" w:rsidRPr="0034656E">
              <w:rPr>
                <w:rFonts w:ascii="Calibri" w:hAnsi="Calibri"/>
                <w:sz w:val="20"/>
                <w:szCs w:val="20"/>
              </w:rPr>
              <w:t>ional maths and English support groups after school</w:t>
            </w:r>
            <w:r w:rsidRPr="0034656E">
              <w:rPr>
                <w:rFonts w:ascii="Calibri" w:hAnsi="Calibri"/>
                <w:sz w:val="20"/>
                <w:szCs w:val="20"/>
              </w:rPr>
              <w:t xml:space="preserve">(Year </w:t>
            </w:r>
            <w:r w:rsidR="00C915C1" w:rsidRPr="0034656E">
              <w:rPr>
                <w:rFonts w:ascii="Calibri" w:hAnsi="Calibri"/>
                <w:sz w:val="20"/>
                <w:szCs w:val="20"/>
              </w:rPr>
              <w:t>10/</w:t>
            </w:r>
            <w:r w:rsidRPr="0034656E">
              <w:rPr>
                <w:rFonts w:ascii="Calibri" w:hAnsi="Calibri"/>
                <w:sz w:val="20"/>
                <w:szCs w:val="20"/>
              </w:rPr>
              <w:t>11)</w:t>
            </w:r>
          </w:p>
          <w:p w:rsidR="00C915C1" w:rsidRPr="0034656E" w:rsidRDefault="00C915C1" w:rsidP="003F64B6">
            <w:pPr>
              <w:rPr>
                <w:rFonts w:ascii="Calibri" w:hAnsi="Calibri"/>
                <w:sz w:val="20"/>
                <w:szCs w:val="20"/>
              </w:rPr>
            </w:pPr>
            <w:r w:rsidRPr="0034656E">
              <w:rPr>
                <w:rFonts w:ascii="Calibri" w:hAnsi="Calibri"/>
                <w:sz w:val="20"/>
                <w:szCs w:val="20"/>
              </w:rPr>
              <w:t>Enhanced TA support in English (Year 11)</w:t>
            </w:r>
          </w:p>
          <w:p w:rsidR="00C915C1" w:rsidRPr="0034656E" w:rsidRDefault="00C915C1" w:rsidP="003F64B6">
            <w:pPr>
              <w:rPr>
                <w:rFonts w:ascii="Calibri" w:hAnsi="Calibri"/>
                <w:sz w:val="20"/>
                <w:szCs w:val="20"/>
              </w:rPr>
            </w:pPr>
            <w:r w:rsidRPr="0034656E">
              <w:rPr>
                <w:rFonts w:ascii="Calibri" w:hAnsi="Calibri"/>
                <w:sz w:val="20"/>
                <w:szCs w:val="20"/>
              </w:rPr>
              <w:t>Individualised English support (Year 11)</w:t>
            </w:r>
          </w:p>
          <w:p w:rsidR="003F64B6" w:rsidRPr="0034656E" w:rsidRDefault="003F64B6" w:rsidP="003F64B6">
            <w:pPr>
              <w:rPr>
                <w:rFonts w:ascii="Calibri" w:hAnsi="Calibri"/>
                <w:sz w:val="20"/>
                <w:szCs w:val="20"/>
              </w:rPr>
            </w:pPr>
            <w:r w:rsidRPr="0034656E">
              <w:rPr>
                <w:rFonts w:ascii="Calibri" w:hAnsi="Calibri"/>
                <w:sz w:val="20"/>
                <w:szCs w:val="20"/>
              </w:rPr>
              <w:t>Additional prep support (Years 9,10,11)</w:t>
            </w:r>
          </w:p>
          <w:p w:rsidR="00C915C1" w:rsidRPr="0034656E" w:rsidRDefault="00C915C1" w:rsidP="003F64B6">
            <w:pPr>
              <w:rPr>
                <w:rFonts w:ascii="Calibri" w:hAnsi="Calibri"/>
                <w:sz w:val="20"/>
                <w:szCs w:val="20"/>
              </w:rPr>
            </w:pPr>
          </w:p>
        </w:tc>
        <w:tc>
          <w:tcPr>
            <w:tcW w:w="3081" w:type="dxa"/>
          </w:tcPr>
          <w:p w:rsidR="006934CD" w:rsidRPr="0034656E" w:rsidRDefault="000859DA" w:rsidP="006934CD">
            <w:pPr>
              <w:rPr>
                <w:rFonts w:ascii="Calibri" w:hAnsi="Calibri"/>
                <w:sz w:val="20"/>
                <w:szCs w:val="20"/>
              </w:rPr>
            </w:pPr>
            <w:r w:rsidRPr="0034656E">
              <w:rPr>
                <w:rFonts w:ascii="Calibri" w:hAnsi="Calibri"/>
                <w:sz w:val="20"/>
                <w:szCs w:val="20"/>
              </w:rPr>
              <w:t>Only 2 students in Year 11 therefore significant analysis meaningless. One performed in line with school figures and one significantly below. One educated elsewhere throughout his three years but remained on our roll.</w:t>
            </w:r>
          </w:p>
          <w:p w:rsidR="000859DA" w:rsidRPr="0034656E" w:rsidRDefault="000859DA" w:rsidP="006934CD">
            <w:pPr>
              <w:rPr>
                <w:rFonts w:ascii="Calibri" w:hAnsi="Calibri"/>
                <w:sz w:val="20"/>
                <w:szCs w:val="20"/>
              </w:rPr>
            </w:pPr>
            <w:r w:rsidRPr="0034656E">
              <w:rPr>
                <w:rFonts w:ascii="Calibri" w:hAnsi="Calibri"/>
                <w:sz w:val="20"/>
                <w:szCs w:val="20"/>
              </w:rPr>
              <w:t xml:space="preserve">Current performance </w:t>
            </w:r>
            <w:r w:rsidR="00264B46" w:rsidRPr="0034656E">
              <w:rPr>
                <w:rFonts w:ascii="Calibri" w:hAnsi="Calibri"/>
                <w:sz w:val="20"/>
                <w:szCs w:val="20"/>
              </w:rPr>
              <w:t xml:space="preserve">(Year 10 and 11 students) </w:t>
            </w:r>
            <w:r w:rsidRPr="0034656E">
              <w:rPr>
                <w:rFonts w:ascii="Calibri" w:hAnsi="Calibri"/>
                <w:sz w:val="20"/>
                <w:szCs w:val="20"/>
              </w:rPr>
              <w:t>can be seen under ‘reports and results’ on our web</w:t>
            </w:r>
            <w:r w:rsidR="00264B46" w:rsidRPr="0034656E">
              <w:rPr>
                <w:rFonts w:ascii="Calibri" w:hAnsi="Calibri"/>
                <w:sz w:val="20"/>
                <w:szCs w:val="20"/>
              </w:rPr>
              <w:t>s</w:t>
            </w:r>
            <w:r w:rsidRPr="0034656E">
              <w:rPr>
                <w:rFonts w:ascii="Calibri" w:hAnsi="Calibri"/>
                <w:sz w:val="20"/>
                <w:szCs w:val="20"/>
              </w:rPr>
              <w:t>ite</w:t>
            </w:r>
          </w:p>
        </w:tc>
      </w:tr>
      <w:tr w:rsidR="000859DA" w:rsidTr="007C274D">
        <w:tc>
          <w:tcPr>
            <w:tcW w:w="9242" w:type="dxa"/>
            <w:gridSpan w:val="3"/>
          </w:tcPr>
          <w:p w:rsidR="000859DA" w:rsidRPr="0034656E" w:rsidRDefault="000859DA" w:rsidP="006934CD">
            <w:pPr>
              <w:rPr>
                <w:rFonts w:ascii="Calibri" w:hAnsi="Calibri"/>
                <w:b/>
                <w:sz w:val="20"/>
                <w:szCs w:val="20"/>
              </w:rPr>
            </w:pPr>
            <w:r w:rsidRPr="0034656E">
              <w:rPr>
                <w:rFonts w:ascii="Calibri" w:hAnsi="Calibri"/>
                <w:b/>
                <w:sz w:val="20"/>
                <w:szCs w:val="20"/>
              </w:rPr>
              <w:t>Year 2013-14</w:t>
            </w:r>
          </w:p>
        </w:tc>
      </w:tr>
      <w:tr w:rsidR="000859DA" w:rsidTr="003F64B6">
        <w:tc>
          <w:tcPr>
            <w:tcW w:w="3080" w:type="dxa"/>
          </w:tcPr>
          <w:p w:rsidR="000859DA" w:rsidRPr="0034656E" w:rsidRDefault="000859DA" w:rsidP="00234FBD">
            <w:pPr>
              <w:rPr>
                <w:rFonts w:ascii="Calibri" w:hAnsi="Calibri"/>
                <w:b/>
                <w:sz w:val="20"/>
                <w:szCs w:val="20"/>
              </w:rPr>
            </w:pPr>
            <w:r w:rsidRPr="0034656E">
              <w:rPr>
                <w:rFonts w:ascii="Calibri" w:hAnsi="Calibri"/>
                <w:b/>
                <w:sz w:val="20"/>
                <w:szCs w:val="20"/>
              </w:rPr>
              <w:t>Budget</w:t>
            </w:r>
          </w:p>
        </w:tc>
        <w:tc>
          <w:tcPr>
            <w:tcW w:w="3081" w:type="dxa"/>
          </w:tcPr>
          <w:p w:rsidR="000859DA" w:rsidRPr="0034656E" w:rsidRDefault="000859DA" w:rsidP="00234FBD">
            <w:pPr>
              <w:rPr>
                <w:rFonts w:ascii="Calibri" w:hAnsi="Calibri"/>
                <w:b/>
                <w:sz w:val="20"/>
                <w:szCs w:val="20"/>
              </w:rPr>
            </w:pPr>
            <w:r w:rsidRPr="0034656E">
              <w:rPr>
                <w:rFonts w:ascii="Calibri" w:hAnsi="Calibri"/>
                <w:b/>
                <w:sz w:val="20"/>
                <w:szCs w:val="20"/>
              </w:rPr>
              <w:t>Strategies</w:t>
            </w:r>
          </w:p>
        </w:tc>
        <w:tc>
          <w:tcPr>
            <w:tcW w:w="3081" w:type="dxa"/>
          </w:tcPr>
          <w:p w:rsidR="000859DA" w:rsidRPr="0034656E" w:rsidRDefault="000859DA" w:rsidP="00234FBD">
            <w:pPr>
              <w:rPr>
                <w:rFonts w:ascii="Calibri" w:hAnsi="Calibri"/>
                <w:b/>
                <w:sz w:val="20"/>
                <w:szCs w:val="20"/>
              </w:rPr>
            </w:pPr>
            <w:r w:rsidRPr="0034656E">
              <w:rPr>
                <w:rFonts w:ascii="Calibri" w:hAnsi="Calibri"/>
                <w:b/>
                <w:sz w:val="20"/>
                <w:szCs w:val="20"/>
              </w:rPr>
              <w:t>Outcomes</w:t>
            </w:r>
          </w:p>
        </w:tc>
      </w:tr>
      <w:tr w:rsidR="000859DA" w:rsidTr="003F64B6">
        <w:tc>
          <w:tcPr>
            <w:tcW w:w="3080" w:type="dxa"/>
          </w:tcPr>
          <w:p w:rsidR="000859DA" w:rsidRPr="0034656E" w:rsidRDefault="00264B46" w:rsidP="00321648">
            <w:pPr>
              <w:rPr>
                <w:rFonts w:ascii="Calibri" w:hAnsi="Calibri"/>
                <w:sz w:val="20"/>
                <w:szCs w:val="20"/>
              </w:rPr>
            </w:pPr>
            <w:r w:rsidRPr="0034656E">
              <w:rPr>
                <w:rFonts w:ascii="Calibri" w:hAnsi="Calibri"/>
                <w:sz w:val="20"/>
                <w:szCs w:val="20"/>
              </w:rPr>
              <w:t>£16050</w:t>
            </w:r>
          </w:p>
        </w:tc>
        <w:tc>
          <w:tcPr>
            <w:tcW w:w="3081" w:type="dxa"/>
          </w:tcPr>
          <w:p w:rsidR="00264B46" w:rsidRPr="0034656E" w:rsidRDefault="00264B46" w:rsidP="00264B46">
            <w:pPr>
              <w:rPr>
                <w:rFonts w:ascii="Calibri" w:hAnsi="Calibri"/>
                <w:sz w:val="20"/>
                <w:szCs w:val="20"/>
              </w:rPr>
            </w:pPr>
            <w:r w:rsidRPr="0034656E">
              <w:rPr>
                <w:rFonts w:ascii="Calibri" w:hAnsi="Calibri"/>
                <w:sz w:val="20"/>
                <w:szCs w:val="20"/>
              </w:rPr>
              <w:t>Corrective reading/literacy support, including individualised literacy intervention (Year 9)</w:t>
            </w:r>
          </w:p>
          <w:p w:rsidR="00264B46" w:rsidRPr="0034656E" w:rsidRDefault="00264B46" w:rsidP="00264B46">
            <w:pPr>
              <w:rPr>
                <w:rFonts w:ascii="Calibri" w:hAnsi="Calibri"/>
                <w:sz w:val="20"/>
                <w:szCs w:val="20"/>
              </w:rPr>
            </w:pPr>
            <w:r w:rsidRPr="0034656E">
              <w:rPr>
                <w:rFonts w:ascii="Calibri" w:hAnsi="Calibri"/>
                <w:sz w:val="20"/>
                <w:szCs w:val="20"/>
              </w:rPr>
              <w:t>Academic mentoring (Year 9,10,11)</w:t>
            </w:r>
          </w:p>
          <w:p w:rsidR="00264B46" w:rsidRPr="0034656E" w:rsidRDefault="00264B46" w:rsidP="00264B46">
            <w:pPr>
              <w:rPr>
                <w:rFonts w:ascii="Calibri" w:hAnsi="Calibri"/>
                <w:sz w:val="20"/>
                <w:szCs w:val="20"/>
              </w:rPr>
            </w:pPr>
            <w:r w:rsidRPr="0034656E">
              <w:rPr>
                <w:rFonts w:ascii="Calibri" w:hAnsi="Calibri"/>
                <w:sz w:val="20"/>
                <w:szCs w:val="20"/>
              </w:rPr>
              <w:t>Additional maths and English support groups after school(Year 10/11)</w:t>
            </w:r>
          </w:p>
          <w:p w:rsidR="00264B46" w:rsidRPr="0034656E" w:rsidRDefault="00264B46" w:rsidP="00264B46">
            <w:pPr>
              <w:rPr>
                <w:rFonts w:ascii="Calibri" w:hAnsi="Calibri"/>
                <w:sz w:val="20"/>
                <w:szCs w:val="20"/>
              </w:rPr>
            </w:pPr>
            <w:r w:rsidRPr="0034656E">
              <w:rPr>
                <w:rFonts w:ascii="Calibri" w:hAnsi="Calibri"/>
                <w:sz w:val="20"/>
                <w:szCs w:val="20"/>
              </w:rPr>
              <w:t>Enhanced TA support in English (Year 11)</w:t>
            </w:r>
          </w:p>
          <w:p w:rsidR="00264B46" w:rsidRPr="0034656E" w:rsidRDefault="00264B46" w:rsidP="00264B46">
            <w:pPr>
              <w:rPr>
                <w:rFonts w:ascii="Calibri" w:hAnsi="Calibri"/>
                <w:sz w:val="20"/>
                <w:szCs w:val="20"/>
              </w:rPr>
            </w:pPr>
            <w:r w:rsidRPr="0034656E">
              <w:rPr>
                <w:rFonts w:ascii="Calibri" w:hAnsi="Calibri"/>
                <w:sz w:val="20"/>
                <w:szCs w:val="20"/>
              </w:rPr>
              <w:t>Individualised English support (Year 11)</w:t>
            </w:r>
          </w:p>
          <w:p w:rsidR="00264B46" w:rsidRPr="0034656E" w:rsidRDefault="00264B46" w:rsidP="00264B46">
            <w:pPr>
              <w:rPr>
                <w:rFonts w:ascii="Calibri" w:hAnsi="Calibri"/>
                <w:sz w:val="20"/>
                <w:szCs w:val="20"/>
              </w:rPr>
            </w:pPr>
            <w:r w:rsidRPr="0034656E">
              <w:rPr>
                <w:rFonts w:ascii="Calibri" w:hAnsi="Calibri"/>
                <w:sz w:val="20"/>
                <w:szCs w:val="20"/>
              </w:rPr>
              <w:t>Additional prep support (Years 9,10,11)</w:t>
            </w:r>
          </w:p>
          <w:p w:rsidR="000859DA" w:rsidRPr="0034656E" w:rsidRDefault="000859DA" w:rsidP="003F64B6">
            <w:pPr>
              <w:rPr>
                <w:rFonts w:ascii="Calibri" w:hAnsi="Calibri"/>
                <w:sz w:val="20"/>
                <w:szCs w:val="20"/>
              </w:rPr>
            </w:pPr>
          </w:p>
        </w:tc>
        <w:tc>
          <w:tcPr>
            <w:tcW w:w="3081" w:type="dxa"/>
          </w:tcPr>
          <w:p w:rsidR="000859DA" w:rsidRPr="0034656E" w:rsidRDefault="000859DA" w:rsidP="000859DA">
            <w:pPr>
              <w:rPr>
                <w:rFonts w:ascii="Calibri" w:hAnsi="Calibri"/>
                <w:b/>
                <w:sz w:val="20"/>
                <w:szCs w:val="20"/>
              </w:rPr>
            </w:pPr>
            <w:r w:rsidRPr="0034656E">
              <w:rPr>
                <w:rFonts w:ascii="Calibri" w:hAnsi="Calibri"/>
                <w:b/>
                <w:sz w:val="20"/>
                <w:szCs w:val="20"/>
              </w:rPr>
              <w:t>Due to data protection legislation individual outcomes are not available on the website.</w:t>
            </w:r>
          </w:p>
          <w:p w:rsidR="000859DA" w:rsidRPr="0034656E" w:rsidRDefault="000859DA" w:rsidP="000859DA">
            <w:pPr>
              <w:rPr>
                <w:rFonts w:ascii="Calibri" w:hAnsi="Calibri"/>
                <w:sz w:val="20"/>
                <w:szCs w:val="20"/>
              </w:rPr>
            </w:pPr>
            <w:r w:rsidRPr="0034656E">
              <w:rPr>
                <w:rFonts w:ascii="Calibri" w:hAnsi="Calibri"/>
                <w:sz w:val="20"/>
                <w:szCs w:val="20"/>
              </w:rPr>
              <w:t>Students are tracked every six weeks and comparisons made with all students within the school.</w:t>
            </w:r>
          </w:p>
          <w:p w:rsidR="000859DA" w:rsidRPr="0034656E" w:rsidRDefault="000859DA" w:rsidP="000859DA">
            <w:pPr>
              <w:rPr>
                <w:rFonts w:ascii="Calibri" w:hAnsi="Calibri"/>
                <w:sz w:val="20"/>
                <w:szCs w:val="20"/>
              </w:rPr>
            </w:pPr>
            <w:r w:rsidRPr="0034656E">
              <w:rPr>
                <w:rFonts w:ascii="Calibri" w:hAnsi="Calibri"/>
                <w:sz w:val="20"/>
                <w:szCs w:val="20"/>
              </w:rPr>
              <w:t>This includes 5A*-C grades, expected progress in English and maths in Years 10 and 11 and specifically progress with reading ages in Year 9. Social development is also tracked including behaviour as this can have a significant effect on progress.</w:t>
            </w:r>
          </w:p>
          <w:p w:rsidR="00264B46" w:rsidRPr="0034656E" w:rsidRDefault="00264B46" w:rsidP="000859DA">
            <w:pPr>
              <w:rPr>
                <w:rFonts w:ascii="Calibri" w:hAnsi="Calibri"/>
                <w:b/>
                <w:sz w:val="20"/>
                <w:szCs w:val="20"/>
              </w:rPr>
            </w:pPr>
            <w:r w:rsidRPr="0034656E">
              <w:rPr>
                <w:rFonts w:ascii="Calibri" w:hAnsi="Calibri"/>
                <w:sz w:val="20"/>
                <w:szCs w:val="20"/>
              </w:rPr>
              <w:t>Current performance (Year 10 and 11 students) can be seen under ‘reports and results’ on our website</w:t>
            </w:r>
          </w:p>
        </w:tc>
      </w:tr>
    </w:tbl>
    <w:p w:rsidR="00321648" w:rsidRDefault="00321648" w:rsidP="00321648">
      <w:pPr>
        <w:rPr>
          <w:rFonts w:ascii="Calibri" w:hAnsi="Calibri"/>
          <w:sz w:val="24"/>
          <w:szCs w:val="24"/>
        </w:rPr>
      </w:pPr>
    </w:p>
    <w:p w:rsidR="00321648" w:rsidRPr="00321648" w:rsidRDefault="00321648" w:rsidP="00321648">
      <w:pPr>
        <w:rPr>
          <w:rFonts w:ascii="Calibri" w:hAnsi="Calibri"/>
          <w:sz w:val="24"/>
          <w:szCs w:val="24"/>
        </w:rPr>
      </w:pPr>
    </w:p>
    <w:sectPr w:rsidR="00321648" w:rsidRPr="00321648" w:rsidSect="006C2C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21648"/>
    <w:rsid w:val="000859DA"/>
    <w:rsid w:val="00086005"/>
    <w:rsid w:val="000B752A"/>
    <w:rsid w:val="00264B46"/>
    <w:rsid w:val="003152DF"/>
    <w:rsid w:val="00321648"/>
    <w:rsid w:val="0034656E"/>
    <w:rsid w:val="003F64B6"/>
    <w:rsid w:val="00524F22"/>
    <w:rsid w:val="005947DA"/>
    <w:rsid w:val="00614907"/>
    <w:rsid w:val="006934CD"/>
    <w:rsid w:val="006C2C87"/>
    <w:rsid w:val="00842351"/>
    <w:rsid w:val="008D5593"/>
    <w:rsid w:val="00A11739"/>
    <w:rsid w:val="00C915C1"/>
    <w:rsid w:val="00D34625"/>
    <w:rsid w:val="00D42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4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F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1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2014-05-16T12:38:00Z</dcterms:created>
  <dcterms:modified xsi:type="dcterms:W3CDTF">2014-05-16T12:38:00Z</dcterms:modified>
</cp:coreProperties>
</file>