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Date: </w:t>
            </w:r>
            <w:r w:rsidRPr="00264D97">
              <w:rPr>
                <w:rFonts w:cs="Arial"/>
                <w:sz w:val="32"/>
                <w:szCs w:val="32"/>
              </w:rPr>
              <w:t>August 2013</w:t>
            </w:r>
          </w:p>
        </w:tc>
      </w:tr>
      <w:tr w:rsidR="00FE2B81" w:rsidRPr="00264D97" w:rsidTr="005811C4">
        <w:tc>
          <w:tcPr>
            <w:tcW w:w="10314" w:type="dxa"/>
            <w:gridSpan w:val="2"/>
          </w:tcPr>
          <w:p w:rsidR="00FE2B81" w:rsidRPr="00264D97" w:rsidRDefault="00FE2B81" w:rsidP="005811C4">
            <w:pPr>
              <w:spacing w:before="240" w:after="240"/>
              <w:rPr>
                <w:rFonts w:cs="Arial"/>
                <w:b/>
                <w:sz w:val="32"/>
                <w:szCs w:val="32"/>
              </w:rPr>
            </w:pPr>
            <w:r w:rsidRPr="00264D97">
              <w:rPr>
                <w:rFonts w:cs="Arial"/>
                <w:b/>
                <w:sz w:val="32"/>
                <w:szCs w:val="32"/>
              </w:rPr>
              <w:t>Approved by Local Advisory Board:</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Review date: </w:t>
            </w:r>
            <w:r w:rsidR="002E31C7">
              <w:rPr>
                <w:rFonts w:cs="Arial"/>
                <w:sz w:val="32"/>
                <w:szCs w:val="32"/>
              </w:rPr>
              <w:t>Autumn 2015</w:t>
            </w:r>
            <w:bookmarkStart w:id="0" w:name="_GoBack"/>
            <w:bookmarkEnd w:id="0"/>
          </w:p>
        </w:tc>
      </w:tr>
      <w:tr w:rsidR="00FE2B81" w:rsidRPr="00264D97" w:rsidTr="005811C4">
        <w:tc>
          <w:tcPr>
            <w:tcW w:w="4621"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FE2B81" w:rsidP="005811C4">
            <w:pPr>
              <w:spacing w:before="240" w:after="240"/>
              <w:rPr>
                <w:rFonts w:cs="Arial"/>
                <w:b/>
              </w:rPr>
            </w:pPr>
          </w:p>
          <w:p w:rsidR="00FE2B81" w:rsidRPr="00264D97" w:rsidRDefault="00FE2B81" w:rsidP="005811C4">
            <w:pPr>
              <w:spacing w:before="240" w:after="240"/>
              <w:rPr>
                <w:rFonts w:cs="Arial"/>
                <w:b/>
              </w:rPr>
            </w:pPr>
          </w:p>
        </w:tc>
        <w:tc>
          <w:tcPr>
            <w:tcW w:w="5693" w:type="dxa"/>
          </w:tcPr>
          <w:p w:rsidR="00FE2B81" w:rsidRPr="00264D97" w:rsidRDefault="00FE2B81" w:rsidP="005811C4">
            <w:pPr>
              <w:spacing w:before="240"/>
              <w:rPr>
                <w:rFonts w:cs="Arial"/>
                <w:b/>
              </w:rPr>
            </w:pPr>
            <w:r w:rsidRPr="00264D97">
              <w:rPr>
                <w:rFonts w:cs="Arial"/>
                <w:b/>
              </w:rPr>
              <w:t xml:space="preserve">Signature of </w:t>
            </w:r>
            <w:proofErr w:type="spellStart"/>
            <w:r w:rsidRPr="00264D97">
              <w:rPr>
                <w:rFonts w:cs="Arial"/>
                <w:b/>
              </w:rPr>
              <w:t>Headteacher</w:t>
            </w:r>
            <w:proofErr w:type="spellEnd"/>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lastRenderedPageBreak/>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w:t>
      </w:r>
      <w:proofErr w:type="spellStart"/>
      <w:r>
        <w:rPr>
          <w:rFonts w:cs="Times-Roman"/>
          <w:color w:val="000000"/>
          <w:sz w:val="22"/>
          <w:szCs w:val="22"/>
          <w:lang w:val="en-US"/>
        </w:rPr>
        <w:t>organisation</w:t>
      </w:r>
      <w:proofErr w:type="spellEnd"/>
      <w:r>
        <w:rPr>
          <w:rFonts w:cs="Times-Roman"/>
          <w:color w:val="000000"/>
          <w:sz w:val="22"/>
          <w:szCs w:val="22"/>
          <w:lang w:val="en-US"/>
        </w:rPr>
        <w:t>.</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severe</w:t>
      </w:r>
      <w:proofErr w:type="gramEnd"/>
      <w:r>
        <w:rPr>
          <w:rFonts w:cs="Times-Roman"/>
          <w:color w:val="000000"/>
          <w:sz w:val="22"/>
          <w:szCs w:val="22"/>
          <w:lang w:val="en-US"/>
        </w:rPr>
        <w:t xml:space="preserve"> weather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flood</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fire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epidemics/pandemics</w:t>
      </w:r>
      <w:proofErr w:type="gramEnd"/>
      <w:r>
        <w:rPr>
          <w:rFonts w:cs="Times-Roman"/>
          <w:color w:val="000000"/>
          <w:sz w:val="22"/>
          <w:szCs w:val="22"/>
          <w:lang w:val="en-US"/>
        </w:rPr>
        <w:t xml:space="preserve">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sewage/drainage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97" w:rsidRDefault="00264D97">
    <w:pPr>
      <w:pStyle w:val="Footer"/>
      <w:rPr>
        <w:sz w:val="22"/>
        <w:szCs w:val="22"/>
      </w:rPr>
    </w:pPr>
    <w:r>
      <w:rPr>
        <w:sz w:val="22"/>
        <w:szCs w:val="22"/>
      </w:rPr>
      <w:t xml:space="preserve">Brymore Academy Critical Incident Policy </w:t>
    </w:r>
  </w:p>
  <w:p w:rsidR="00264D97" w:rsidRDefault="00264D97">
    <w:pPr>
      <w:pStyle w:val="Footer"/>
    </w:pPr>
    <w:r>
      <w:rPr>
        <w:sz w:val="22"/>
        <w:szCs w:val="22"/>
      </w:rPr>
      <w:t>August 2013</w:t>
    </w:r>
    <w:r>
      <w:rPr>
        <w:sz w:val="22"/>
        <w:szCs w:val="22"/>
      </w:rPr>
      <w:tab/>
    </w:r>
    <w:r>
      <w:rPr>
        <w:sz w:val="22"/>
        <w:szCs w:val="22"/>
      </w:rPr>
      <w:tab/>
    </w:r>
    <w:sdt>
      <w:sdtPr>
        <w:id w:val="19937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31C7">
          <w:rPr>
            <w:noProof/>
          </w:rPr>
          <w:t>1</w:t>
        </w:r>
        <w:r>
          <w:rPr>
            <w:noProof/>
          </w:rPr>
          <w:fldChar w:fldCharType="end"/>
        </w:r>
      </w:sdtContent>
    </w:sdt>
  </w:p>
  <w:p w:rsidR="00C62A72" w:rsidRDefault="00C62A72">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74" w:rsidRDefault="00EB0574">
      <w:r>
        <w:separator/>
      </w:r>
    </w:p>
  </w:footnote>
  <w:footnote w:type="continuationSeparator" w:id="0">
    <w:p w:rsidR="00EB0574" w:rsidRDefault="00EB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62A72"/>
    <w:rsid w:val="00264D97"/>
    <w:rsid w:val="002E31C7"/>
    <w:rsid w:val="00C62A72"/>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6</cp:revision>
  <cp:lastPrinted>2012-01-10T09:10:00Z</cp:lastPrinted>
  <dcterms:created xsi:type="dcterms:W3CDTF">2012-01-10T09:11:00Z</dcterms:created>
  <dcterms:modified xsi:type="dcterms:W3CDTF">2015-02-05T15:31:00Z</dcterms:modified>
</cp:coreProperties>
</file>