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905" w:type="dxa"/>
        <w:tblLook w:val="04A0" w:firstRow="1" w:lastRow="0" w:firstColumn="1" w:lastColumn="0" w:noHBand="0" w:noVBand="1"/>
      </w:tblPr>
      <w:tblGrid>
        <w:gridCol w:w="4140"/>
        <w:gridCol w:w="6750"/>
      </w:tblGrid>
      <w:tr w:rsidR="003901C0" w14:paraId="67BF6291" w14:textId="77777777" w:rsidTr="003901C0">
        <w:trPr>
          <w:trHeight w:val="99"/>
        </w:trPr>
        <w:tc>
          <w:tcPr>
            <w:tcW w:w="10890" w:type="dxa"/>
            <w:gridSpan w:val="2"/>
            <w:shd w:val="clear" w:color="auto" w:fill="auto"/>
          </w:tcPr>
          <w:p w14:paraId="5429EEEA" w14:textId="08B695E1" w:rsidR="003901C0" w:rsidRDefault="003901C0" w:rsidP="003901C0">
            <w:pPr>
              <w:widowControl w:val="0"/>
              <w:autoSpaceDE w:val="0"/>
              <w:autoSpaceDN w:val="0"/>
              <w:adjustRightInd w:val="0"/>
              <w:spacing w:after="240"/>
              <w:jc w:val="center"/>
              <w:rPr>
                <w:rFonts w:ascii="Futura" w:hAnsi="Futura" w:cs="Futura"/>
                <w:color w:val="000000"/>
                <w:sz w:val="32"/>
                <w:szCs w:val="32"/>
              </w:rPr>
            </w:pPr>
            <w:r>
              <w:rPr>
                <w:rFonts w:ascii="Futura" w:hAnsi="Futura" w:cs="Futura"/>
                <w:color w:val="000000"/>
                <w:sz w:val="32"/>
                <w:szCs w:val="32"/>
              </w:rPr>
              <w:t>SEN Governors Report</w:t>
            </w:r>
          </w:p>
        </w:tc>
      </w:tr>
      <w:tr w:rsidR="003901C0" w14:paraId="22F3A4FB" w14:textId="77777777" w:rsidTr="003901C0">
        <w:trPr>
          <w:trHeight w:val="683"/>
        </w:trPr>
        <w:tc>
          <w:tcPr>
            <w:tcW w:w="4140" w:type="dxa"/>
            <w:shd w:val="clear" w:color="auto" w:fill="D9E2F3" w:themeFill="accent1" w:themeFillTint="33"/>
          </w:tcPr>
          <w:p w14:paraId="530D098E" w14:textId="36347FE7" w:rsidR="003901C0" w:rsidRDefault="003901C0"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Name of Academy</w:t>
            </w:r>
          </w:p>
        </w:tc>
        <w:tc>
          <w:tcPr>
            <w:tcW w:w="6750" w:type="dxa"/>
          </w:tcPr>
          <w:p w14:paraId="03E27D75" w14:textId="3725E7BA" w:rsidR="003901C0" w:rsidRDefault="00FB37BA"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Brymore</w:t>
            </w:r>
          </w:p>
        </w:tc>
      </w:tr>
      <w:tr w:rsidR="003901C0" w14:paraId="1CB48C94" w14:textId="77777777" w:rsidTr="003901C0">
        <w:trPr>
          <w:trHeight w:val="98"/>
        </w:trPr>
        <w:tc>
          <w:tcPr>
            <w:tcW w:w="4140" w:type="dxa"/>
            <w:shd w:val="clear" w:color="auto" w:fill="D9E2F3" w:themeFill="accent1" w:themeFillTint="33"/>
          </w:tcPr>
          <w:p w14:paraId="56CDDDDC" w14:textId="171B894D" w:rsidR="003901C0" w:rsidRDefault="003901C0" w:rsidP="004C4024">
            <w:pPr>
              <w:widowControl w:val="0"/>
              <w:autoSpaceDE w:val="0"/>
              <w:autoSpaceDN w:val="0"/>
              <w:adjustRightInd w:val="0"/>
              <w:spacing w:after="240"/>
              <w:rPr>
                <w:rFonts w:ascii="Futura" w:hAnsi="Futura" w:cs="Futura"/>
                <w:color w:val="000000"/>
                <w:sz w:val="32"/>
                <w:szCs w:val="32"/>
              </w:rPr>
            </w:pPr>
            <w:proofErr w:type="spellStart"/>
            <w:r>
              <w:rPr>
                <w:rFonts w:ascii="Futura" w:hAnsi="Futura" w:cs="Futura"/>
                <w:color w:val="000000"/>
                <w:sz w:val="32"/>
                <w:szCs w:val="32"/>
              </w:rPr>
              <w:t>SENCo</w:t>
            </w:r>
            <w:proofErr w:type="spellEnd"/>
          </w:p>
        </w:tc>
        <w:tc>
          <w:tcPr>
            <w:tcW w:w="6750" w:type="dxa"/>
          </w:tcPr>
          <w:p w14:paraId="263364F3" w14:textId="0B3F4162" w:rsidR="003901C0" w:rsidRDefault="00FB37BA"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Michelle Craig</w:t>
            </w:r>
          </w:p>
        </w:tc>
      </w:tr>
      <w:tr w:rsidR="003901C0" w14:paraId="71F46F43" w14:textId="77777777" w:rsidTr="003901C0">
        <w:trPr>
          <w:trHeight w:val="98"/>
        </w:trPr>
        <w:tc>
          <w:tcPr>
            <w:tcW w:w="4140" w:type="dxa"/>
            <w:shd w:val="clear" w:color="auto" w:fill="D9E2F3" w:themeFill="accent1" w:themeFillTint="33"/>
          </w:tcPr>
          <w:p w14:paraId="1F326836" w14:textId="166F1449" w:rsidR="003901C0" w:rsidRDefault="003901C0"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Date of report</w:t>
            </w:r>
          </w:p>
        </w:tc>
        <w:tc>
          <w:tcPr>
            <w:tcW w:w="6750" w:type="dxa"/>
          </w:tcPr>
          <w:p w14:paraId="5581DC7C" w14:textId="40B066A0" w:rsidR="003901C0" w:rsidRDefault="00FB37BA"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4/10/2017</w:t>
            </w:r>
          </w:p>
        </w:tc>
      </w:tr>
      <w:tr w:rsidR="003901C0" w14:paraId="1EF70284" w14:textId="77777777" w:rsidTr="003901C0">
        <w:trPr>
          <w:trHeight w:val="98"/>
        </w:trPr>
        <w:tc>
          <w:tcPr>
            <w:tcW w:w="4140" w:type="dxa"/>
            <w:shd w:val="clear" w:color="auto" w:fill="D9E2F3" w:themeFill="accent1" w:themeFillTint="33"/>
          </w:tcPr>
          <w:p w14:paraId="34301E81" w14:textId="3E69E8AC" w:rsidR="003901C0" w:rsidRDefault="003901C0" w:rsidP="004C4024">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SEN governor</w:t>
            </w:r>
          </w:p>
        </w:tc>
        <w:tc>
          <w:tcPr>
            <w:tcW w:w="6750" w:type="dxa"/>
          </w:tcPr>
          <w:p w14:paraId="495D64F6" w14:textId="7C4DE9C9" w:rsidR="003901C0" w:rsidRDefault="009B3165" w:rsidP="004C4024">
            <w:pPr>
              <w:widowControl w:val="0"/>
              <w:autoSpaceDE w:val="0"/>
              <w:autoSpaceDN w:val="0"/>
              <w:adjustRightInd w:val="0"/>
              <w:spacing w:after="240"/>
              <w:rPr>
                <w:rFonts w:ascii="Futura" w:hAnsi="Futura" w:cs="Futura"/>
                <w:color w:val="000000"/>
                <w:sz w:val="32"/>
                <w:szCs w:val="32"/>
              </w:rPr>
            </w:pPr>
            <w:r>
              <w:rPr>
                <w:rFonts w:ascii="Segoe UI" w:hAnsi="Segoe UI" w:cs="Segoe UI"/>
                <w:color w:val="212121"/>
                <w:sz w:val="23"/>
                <w:szCs w:val="23"/>
                <w:shd w:val="clear" w:color="auto" w:fill="FFFFFF"/>
              </w:rPr>
              <w:t>Ann Dyer</w:t>
            </w:r>
          </w:p>
        </w:tc>
      </w:tr>
      <w:tr w:rsidR="000812CD" w14:paraId="16B3A797" w14:textId="77777777" w:rsidTr="004C4024">
        <w:tc>
          <w:tcPr>
            <w:tcW w:w="10890" w:type="dxa"/>
            <w:gridSpan w:val="2"/>
          </w:tcPr>
          <w:p w14:paraId="7B81933E" w14:textId="77777777" w:rsidR="00EA1F1D" w:rsidRDefault="000812CD" w:rsidP="004C4024">
            <w:pPr>
              <w:widowControl w:val="0"/>
              <w:autoSpaceDE w:val="0"/>
              <w:autoSpaceDN w:val="0"/>
              <w:adjustRightInd w:val="0"/>
              <w:spacing w:after="240"/>
              <w:rPr>
                <w:rFonts w:ascii="MS Mincho" w:eastAsia="MS Mincho" w:hAnsi="MS Mincho" w:cs="MS Mincho"/>
                <w:color w:val="000000"/>
                <w:sz w:val="20"/>
                <w:szCs w:val="20"/>
              </w:rPr>
            </w:pPr>
            <w:r>
              <w:rPr>
                <w:rFonts w:ascii="Futura" w:hAnsi="Futura" w:cs="Futura"/>
                <w:color w:val="000000"/>
                <w:sz w:val="32"/>
                <w:szCs w:val="32"/>
              </w:rPr>
              <w:t xml:space="preserve">Overall statement based on Ofsted descriptors regarding the quality of the SEN provision in school for the last 12 months </w:t>
            </w:r>
            <w:r w:rsidRPr="00B105DD">
              <w:rPr>
                <w:rFonts w:ascii="Futura" w:hAnsi="Futura" w:cs="Futura"/>
                <w:color w:val="000000"/>
                <w:sz w:val="20"/>
                <w:szCs w:val="20"/>
              </w:rPr>
              <w:t>Take into account:</w:t>
            </w:r>
            <w:r w:rsidRPr="00B105DD">
              <w:rPr>
                <w:rFonts w:ascii="MS Mincho" w:eastAsia="MS Mincho" w:hAnsi="MS Mincho" w:cs="MS Mincho"/>
                <w:color w:val="000000"/>
                <w:sz w:val="20"/>
                <w:szCs w:val="20"/>
              </w:rPr>
              <w:t> </w:t>
            </w:r>
          </w:p>
          <w:p w14:paraId="76BDE5B9" w14:textId="237E1A45" w:rsidR="00FB37BA" w:rsidRPr="003E6AC9" w:rsidRDefault="003E6AC9" w:rsidP="004C4024">
            <w:pPr>
              <w:widowControl w:val="0"/>
              <w:autoSpaceDE w:val="0"/>
              <w:autoSpaceDN w:val="0"/>
              <w:adjustRightInd w:val="0"/>
              <w:spacing w:after="240"/>
              <w:rPr>
                <w:rFonts w:asciiTheme="majorHAnsi" w:eastAsia="MS Mincho" w:hAnsiTheme="majorHAnsi" w:cstheme="majorHAnsi"/>
                <w:color w:val="000000"/>
                <w:sz w:val="28"/>
                <w:szCs w:val="28"/>
              </w:rPr>
            </w:pPr>
            <w:r w:rsidRPr="003E6AC9">
              <w:rPr>
                <w:rFonts w:asciiTheme="majorHAnsi" w:eastAsia="MS Mincho" w:hAnsiTheme="majorHAnsi" w:cstheme="majorHAnsi"/>
                <w:color w:val="000000"/>
                <w:sz w:val="28"/>
                <w:szCs w:val="28"/>
              </w:rPr>
              <w:t>Po</w:t>
            </w:r>
            <w:r w:rsidR="00FB37BA" w:rsidRPr="003E6AC9">
              <w:rPr>
                <w:rFonts w:asciiTheme="majorHAnsi" w:eastAsia="MS Mincho" w:hAnsiTheme="majorHAnsi" w:cstheme="majorHAnsi"/>
                <w:color w:val="000000"/>
                <w:sz w:val="28"/>
                <w:szCs w:val="28"/>
              </w:rPr>
              <w:t>sitive outcomes as shown by P8 +0.</w:t>
            </w:r>
            <w:r w:rsidR="00CD2836">
              <w:rPr>
                <w:rFonts w:asciiTheme="majorHAnsi" w:eastAsia="MS Mincho" w:hAnsiTheme="majorHAnsi" w:cstheme="majorHAnsi"/>
                <w:color w:val="000000"/>
                <w:sz w:val="28"/>
                <w:szCs w:val="28"/>
              </w:rPr>
              <w:t>09</w:t>
            </w:r>
            <w:r w:rsidR="00FB37BA" w:rsidRPr="003E6AC9">
              <w:rPr>
                <w:rFonts w:asciiTheme="majorHAnsi" w:eastAsia="MS Mincho" w:hAnsiTheme="majorHAnsi" w:cstheme="majorHAnsi"/>
                <w:color w:val="000000"/>
                <w:sz w:val="28"/>
                <w:szCs w:val="28"/>
              </w:rPr>
              <w:t xml:space="preserve"> T</w:t>
            </w:r>
            <w:r w:rsidRPr="003E6AC9">
              <w:rPr>
                <w:rFonts w:asciiTheme="majorHAnsi" w:eastAsia="MS Mincho" w:hAnsiTheme="majorHAnsi" w:cstheme="majorHAnsi"/>
                <w:color w:val="000000"/>
                <w:sz w:val="28"/>
                <w:szCs w:val="28"/>
              </w:rPr>
              <w:t>his puts</w:t>
            </w:r>
            <w:r w:rsidR="00FB37BA" w:rsidRPr="003E6AC9">
              <w:rPr>
                <w:rFonts w:asciiTheme="majorHAnsi" w:eastAsia="MS Mincho" w:hAnsiTheme="majorHAnsi" w:cstheme="majorHAnsi"/>
                <w:color w:val="000000"/>
                <w:sz w:val="28"/>
                <w:szCs w:val="28"/>
              </w:rPr>
              <w:t xml:space="preserve"> Brymore third in county for SEN and only one of four school to achieve a positive residual</w:t>
            </w:r>
            <w:r w:rsidRPr="003E6AC9">
              <w:rPr>
                <w:rFonts w:asciiTheme="majorHAnsi" w:eastAsia="MS Mincho" w:hAnsiTheme="majorHAnsi" w:cstheme="majorHAnsi"/>
                <w:color w:val="000000"/>
                <w:sz w:val="28"/>
                <w:szCs w:val="28"/>
              </w:rPr>
              <w:t xml:space="preserve"> this year.</w:t>
            </w:r>
          </w:p>
          <w:p w14:paraId="02B28C0E" w14:textId="77777777" w:rsidR="000812CD" w:rsidRDefault="000812CD" w:rsidP="003E6AC9">
            <w:pPr>
              <w:widowControl w:val="0"/>
              <w:autoSpaceDE w:val="0"/>
              <w:autoSpaceDN w:val="0"/>
              <w:adjustRightInd w:val="0"/>
              <w:spacing w:after="240"/>
            </w:pPr>
          </w:p>
        </w:tc>
      </w:tr>
      <w:tr w:rsidR="000812CD" w14:paraId="2AA26C13" w14:textId="77777777" w:rsidTr="004C4024">
        <w:tc>
          <w:tcPr>
            <w:tcW w:w="10890" w:type="dxa"/>
            <w:gridSpan w:val="2"/>
          </w:tcPr>
          <w:p w14:paraId="05310FAC" w14:textId="10F71B0C" w:rsidR="000812CD" w:rsidRDefault="000812CD" w:rsidP="008A6DBF">
            <w:pPr>
              <w:widowControl w:val="0"/>
              <w:autoSpaceDE w:val="0"/>
              <w:autoSpaceDN w:val="0"/>
              <w:adjustRightInd w:val="0"/>
              <w:spacing w:after="240"/>
              <w:rPr>
                <w:rFonts w:ascii="Futura" w:hAnsi="Futura" w:cs="Futura"/>
                <w:color w:val="000000"/>
                <w:sz w:val="20"/>
                <w:szCs w:val="20"/>
              </w:rPr>
            </w:pPr>
            <w:r>
              <w:rPr>
                <w:rFonts w:ascii="Futura" w:hAnsi="Futura" w:cs="Futura"/>
                <w:color w:val="000000"/>
                <w:sz w:val="32"/>
                <w:szCs w:val="32"/>
              </w:rPr>
              <w:t>SEN profile (SEN register etc) for last 12 months</w:t>
            </w:r>
            <w:r>
              <w:rPr>
                <w:rFonts w:ascii="MS Mincho" w:eastAsia="MS Mincho" w:hAnsi="MS Mincho" w:cs="MS Mincho"/>
                <w:color w:val="000000"/>
                <w:sz w:val="32"/>
                <w:szCs w:val="32"/>
              </w:rPr>
              <w:t> </w:t>
            </w:r>
            <w:r w:rsidRPr="00B105DD">
              <w:rPr>
                <w:rFonts w:ascii="Futura" w:hAnsi="Futura" w:cs="Futura"/>
                <w:color w:val="000000"/>
                <w:sz w:val="20"/>
                <w:szCs w:val="20"/>
              </w:rPr>
              <w:t>Provide statistical information</w:t>
            </w:r>
            <w:r w:rsidR="008A6DBF">
              <w:rPr>
                <w:rFonts w:ascii="Futura" w:hAnsi="Futura" w:cs="Futura"/>
                <w:color w:val="000000"/>
                <w:sz w:val="20"/>
                <w:szCs w:val="20"/>
              </w:rPr>
              <w:t>:</w:t>
            </w:r>
            <w:r w:rsidRPr="00B105DD">
              <w:rPr>
                <w:rFonts w:ascii="Futura" w:hAnsi="Futura" w:cs="Futura"/>
                <w:color w:val="000000"/>
                <w:sz w:val="20"/>
                <w:szCs w:val="20"/>
              </w:rPr>
              <w:t xml:space="preserve"> </w:t>
            </w:r>
          </w:p>
          <w:p w14:paraId="72D55161" w14:textId="77D8B10A" w:rsidR="009B3165" w:rsidRDefault="009B3165" w:rsidP="008A6DBF">
            <w:pPr>
              <w:widowControl w:val="0"/>
              <w:autoSpaceDE w:val="0"/>
              <w:autoSpaceDN w:val="0"/>
              <w:adjustRightInd w:val="0"/>
              <w:spacing w:after="240"/>
              <w:rPr>
                <w:rFonts w:ascii="Times" w:hAnsi="Times" w:cs="Times"/>
                <w:color w:val="000000"/>
              </w:rPr>
            </w:pPr>
            <w:r>
              <w:rPr>
                <w:noProof/>
                <w:lang w:eastAsia="en-GB"/>
              </w:rPr>
              <w:drawing>
                <wp:inline distT="0" distB="0" distL="0" distR="0" wp14:anchorId="4F0CCB7C" wp14:editId="38B2C723">
                  <wp:extent cx="511492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632EC5C" w14:textId="77777777" w:rsidR="000812CD" w:rsidRDefault="000812CD" w:rsidP="004C4024"/>
        </w:tc>
      </w:tr>
      <w:tr w:rsidR="000812CD" w14:paraId="0F5A3233" w14:textId="77777777" w:rsidTr="004C4024">
        <w:tc>
          <w:tcPr>
            <w:tcW w:w="10890" w:type="dxa"/>
            <w:gridSpan w:val="2"/>
          </w:tcPr>
          <w:p w14:paraId="43542D49" w14:textId="77777777" w:rsidR="00AA3678" w:rsidRPr="00B105DD" w:rsidRDefault="00AA3678" w:rsidP="008A6DBF">
            <w:pPr>
              <w:widowControl w:val="0"/>
              <w:numPr>
                <w:ilvl w:val="0"/>
                <w:numId w:val="1"/>
              </w:numPr>
              <w:tabs>
                <w:tab w:val="left" w:pos="220"/>
                <w:tab w:val="left" w:pos="720"/>
              </w:tabs>
              <w:autoSpaceDE w:val="0"/>
              <w:autoSpaceDN w:val="0"/>
              <w:adjustRightInd w:val="0"/>
              <w:spacing w:after="240"/>
              <w:ind w:hanging="720"/>
              <w:rPr>
                <w:rFonts w:ascii="Times" w:hAnsi="Times" w:cs="Times"/>
                <w:color w:val="000000"/>
                <w:sz w:val="20"/>
                <w:szCs w:val="20"/>
              </w:rPr>
            </w:pPr>
          </w:p>
        </w:tc>
      </w:tr>
      <w:tr w:rsidR="000812CD" w14:paraId="1069D48C" w14:textId="77777777" w:rsidTr="003E6AC9">
        <w:trPr>
          <w:trHeight w:val="84"/>
        </w:trPr>
        <w:tc>
          <w:tcPr>
            <w:tcW w:w="10890" w:type="dxa"/>
            <w:gridSpan w:val="2"/>
          </w:tcPr>
          <w:p w14:paraId="67CF2275" w14:textId="77777777" w:rsidR="000812CD" w:rsidRDefault="000812CD" w:rsidP="003E6AC9">
            <w:pPr>
              <w:widowControl w:val="0"/>
              <w:numPr>
                <w:ilvl w:val="0"/>
                <w:numId w:val="1"/>
              </w:numPr>
              <w:tabs>
                <w:tab w:val="left" w:pos="220"/>
                <w:tab w:val="left" w:pos="720"/>
              </w:tabs>
              <w:autoSpaceDE w:val="0"/>
              <w:autoSpaceDN w:val="0"/>
              <w:adjustRightInd w:val="0"/>
              <w:spacing w:after="240"/>
              <w:ind w:hanging="720"/>
            </w:pPr>
          </w:p>
        </w:tc>
      </w:tr>
      <w:tr w:rsidR="000812CD" w14:paraId="4933DAD0" w14:textId="77777777" w:rsidTr="004C4024">
        <w:tc>
          <w:tcPr>
            <w:tcW w:w="10890" w:type="dxa"/>
            <w:gridSpan w:val="2"/>
          </w:tcPr>
          <w:p w14:paraId="470BC3DE" w14:textId="563F4B18" w:rsidR="000812CD" w:rsidRDefault="000812CD" w:rsidP="008A6DBF">
            <w:pPr>
              <w:widowControl w:val="0"/>
              <w:autoSpaceDE w:val="0"/>
              <w:autoSpaceDN w:val="0"/>
              <w:adjustRightInd w:val="0"/>
              <w:spacing w:after="240"/>
              <w:rPr>
                <w:rFonts w:ascii="Futura" w:hAnsi="Futura" w:cs="Futura"/>
                <w:color w:val="000000"/>
                <w:sz w:val="20"/>
                <w:szCs w:val="20"/>
              </w:rPr>
            </w:pPr>
            <w:r>
              <w:rPr>
                <w:rFonts w:ascii="Futura" w:hAnsi="Futura" w:cs="Futura"/>
                <w:color w:val="000000"/>
                <w:sz w:val="32"/>
                <w:szCs w:val="32"/>
              </w:rPr>
              <w:t>Arrangements for early identification and assessment of SEN pupils</w:t>
            </w:r>
            <w:r>
              <w:rPr>
                <w:rFonts w:ascii="MS Mincho" w:eastAsia="MS Mincho" w:hAnsi="MS Mincho" w:cs="MS Mincho"/>
                <w:color w:val="000000"/>
                <w:sz w:val="32"/>
                <w:szCs w:val="32"/>
              </w:rPr>
              <w:t> </w:t>
            </w:r>
            <w:r w:rsidRPr="00B105DD">
              <w:rPr>
                <w:rFonts w:ascii="Futura" w:hAnsi="Futura" w:cs="Futura"/>
                <w:color w:val="000000"/>
                <w:sz w:val="20"/>
                <w:szCs w:val="20"/>
              </w:rPr>
              <w:t xml:space="preserve"> </w:t>
            </w:r>
          </w:p>
          <w:p w14:paraId="4CDA0112" w14:textId="77777777" w:rsidR="003E6AC9" w:rsidRPr="003E6AC9" w:rsidRDefault="00FB37BA" w:rsidP="008A6DBF">
            <w:pPr>
              <w:widowControl w:val="0"/>
              <w:autoSpaceDE w:val="0"/>
              <w:autoSpaceDN w:val="0"/>
              <w:adjustRightInd w:val="0"/>
              <w:spacing w:after="240"/>
              <w:rPr>
                <w:rFonts w:cstheme="minorHAnsi"/>
                <w:color w:val="000000"/>
                <w:sz w:val="28"/>
                <w:szCs w:val="28"/>
              </w:rPr>
            </w:pPr>
            <w:r w:rsidRPr="003E6AC9">
              <w:rPr>
                <w:rFonts w:cstheme="minorHAnsi"/>
                <w:color w:val="000000"/>
                <w:sz w:val="28"/>
                <w:szCs w:val="28"/>
              </w:rPr>
              <w:t xml:space="preserve">Students are identified as SEN on </w:t>
            </w:r>
            <w:r w:rsidR="009B3165" w:rsidRPr="003E6AC9">
              <w:rPr>
                <w:rFonts w:cstheme="minorHAnsi"/>
                <w:color w:val="000000"/>
                <w:sz w:val="28"/>
                <w:szCs w:val="28"/>
              </w:rPr>
              <w:t>entering</w:t>
            </w:r>
            <w:r w:rsidRPr="003E6AC9">
              <w:rPr>
                <w:rFonts w:cstheme="minorHAnsi"/>
                <w:color w:val="000000"/>
                <w:sz w:val="28"/>
                <w:szCs w:val="28"/>
              </w:rPr>
              <w:t xml:space="preserve"> the school this is through the transition programme and through the </w:t>
            </w:r>
            <w:r w:rsidR="003E6AC9" w:rsidRPr="003E6AC9">
              <w:rPr>
                <w:rFonts w:cstheme="minorHAnsi"/>
                <w:color w:val="000000"/>
                <w:sz w:val="28"/>
                <w:szCs w:val="28"/>
              </w:rPr>
              <w:t>school’s</w:t>
            </w:r>
            <w:r w:rsidRPr="003E6AC9">
              <w:rPr>
                <w:rFonts w:cstheme="minorHAnsi"/>
                <w:color w:val="000000"/>
                <w:sz w:val="28"/>
                <w:szCs w:val="28"/>
              </w:rPr>
              <w:t xml:space="preserve"> own </w:t>
            </w:r>
            <w:r w:rsidR="009B3165" w:rsidRPr="003E6AC9">
              <w:rPr>
                <w:rFonts w:cstheme="minorHAnsi"/>
                <w:color w:val="000000"/>
                <w:sz w:val="28"/>
                <w:szCs w:val="28"/>
              </w:rPr>
              <w:t>assessment</w:t>
            </w:r>
            <w:r w:rsidRPr="003E6AC9">
              <w:rPr>
                <w:rFonts w:cstheme="minorHAnsi"/>
                <w:color w:val="000000"/>
                <w:sz w:val="28"/>
                <w:szCs w:val="28"/>
              </w:rPr>
              <w:t xml:space="preserve"> on induction day. This is followed up by information provided by the census-this is matched to the current SEN register. </w:t>
            </w:r>
          </w:p>
          <w:p w14:paraId="5530C2CA" w14:textId="0275C077" w:rsidR="00FB37BA" w:rsidRPr="003E6AC9" w:rsidRDefault="00FB37BA" w:rsidP="008A6DBF">
            <w:pPr>
              <w:widowControl w:val="0"/>
              <w:autoSpaceDE w:val="0"/>
              <w:autoSpaceDN w:val="0"/>
              <w:adjustRightInd w:val="0"/>
              <w:spacing w:after="240"/>
              <w:rPr>
                <w:rFonts w:eastAsia="MS Mincho" w:cstheme="minorHAnsi"/>
                <w:color w:val="000000"/>
                <w:sz w:val="28"/>
                <w:szCs w:val="28"/>
              </w:rPr>
            </w:pPr>
            <w:r w:rsidRPr="003E6AC9">
              <w:rPr>
                <w:rFonts w:cstheme="minorHAnsi"/>
                <w:color w:val="000000"/>
                <w:sz w:val="28"/>
                <w:szCs w:val="28"/>
              </w:rPr>
              <w:t xml:space="preserve">The register is a fluid document </w:t>
            </w:r>
            <w:r w:rsidR="003E6AC9" w:rsidRPr="003E6AC9">
              <w:rPr>
                <w:rFonts w:cstheme="minorHAnsi"/>
                <w:color w:val="000000"/>
                <w:sz w:val="28"/>
                <w:szCs w:val="28"/>
              </w:rPr>
              <w:t>w</w:t>
            </w:r>
            <w:r w:rsidRPr="003E6AC9">
              <w:rPr>
                <w:rFonts w:cstheme="minorHAnsi"/>
                <w:color w:val="000000"/>
                <w:sz w:val="28"/>
                <w:szCs w:val="28"/>
              </w:rPr>
              <w:t xml:space="preserve">here </w:t>
            </w:r>
            <w:r w:rsidR="009B3165" w:rsidRPr="003E6AC9">
              <w:rPr>
                <w:rFonts w:cstheme="minorHAnsi"/>
                <w:color w:val="000000"/>
                <w:sz w:val="28"/>
                <w:szCs w:val="28"/>
              </w:rPr>
              <w:t>students</w:t>
            </w:r>
            <w:r w:rsidRPr="003E6AC9">
              <w:rPr>
                <w:rFonts w:cstheme="minorHAnsi"/>
                <w:color w:val="000000"/>
                <w:sz w:val="28"/>
                <w:szCs w:val="28"/>
              </w:rPr>
              <w:t xml:space="preserve"> </w:t>
            </w:r>
            <w:r w:rsidR="009B3165" w:rsidRPr="003E6AC9">
              <w:rPr>
                <w:rFonts w:cstheme="minorHAnsi"/>
                <w:color w:val="000000"/>
                <w:sz w:val="28"/>
                <w:szCs w:val="28"/>
              </w:rPr>
              <w:t>who</w:t>
            </w:r>
            <w:r w:rsidRPr="003E6AC9">
              <w:rPr>
                <w:rFonts w:cstheme="minorHAnsi"/>
                <w:color w:val="000000"/>
                <w:sz w:val="28"/>
                <w:szCs w:val="28"/>
              </w:rPr>
              <w:t xml:space="preserve"> are identified </w:t>
            </w:r>
            <w:r w:rsidR="003E6AC9" w:rsidRPr="003E6AC9">
              <w:rPr>
                <w:rFonts w:cstheme="minorHAnsi"/>
                <w:color w:val="000000"/>
                <w:sz w:val="28"/>
                <w:szCs w:val="28"/>
              </w:rPr>
              <w:t xml:space="preserve">needing </w:t>
            </w:r>
            <w:r w:rsidRPr="003E6AC9">
              <w:rPr>
                <w:rFonts w:cstheme="minorHAnsi"/>
                <w:color w:val="000000"/>
                <w:sz w:val="28"/>
                <w:szCs w:val="28"/>
              </w:rPr>
              <w:t xml:space="preserve">support beyond qualify first teaching </w:t>
            </w:r>
            <w:r w:rsidR="003E6AC9" w:rsidRPr="003E6AC9">
              <w:rPr>
                <w:rFonts w:cstheme="minorHAnsi"/>
                <w:color w:val="000000"/>
                <w:sz w:val="28"/>
                <w:szCs w:val="28"/>
              </w:rPr>
              <w:t>are</w:t>
            </w:r>
            <w:r w:rsidRPr="003E6AC9">
              <w:rPr>
                <w:rFonts w:cstheme="minorHAnsi"/>
                <w:color w:val="000000"/>
                <w:sz w:val="28"/>
                <w:szCs w:val="28"/>
              </w:rPr>
              <w:t xml:space="preserve"> identified</w:t>
            </w:r>
            <w:r w:rsidR="003E6AC9" w:rsidRPr="003E6AC9">
              <w:rPr>
                <w:rFonts w:cstheme="minorHAnsi"/>
                <w:color w:val="000000"/>
                <w:sz w:val="28"/>
                <w:szCs w:val="28"/>
              </w:rPr>
              <w:t xml:space="preserve"> as set out in the core standards</w:t>
            </w:r>
            <w:r w:rsidRPr="003E6AC9">
              <w:rPr>
                <w:rFonts w:cstheme="minorHAnsi"/>
                <w:color w:val="000000"/>
                <w:sz w:val="28"/>
                <w:szCs w:val="28"/>
              </w:rPr>
              <w:t>. Students who show areas of need</w:t>
            </w:r>
            <w:r w:rsidR="003E6AC9" w:rsidRPr="003E6AC9">
              <w:rPr>
                <w:rFonts w:cstheme="minorHAnsi"/>
                <w:color w:val="000000"/>
                <w:sz w:val="28"/>
                <w:szCs w:val="28"/>
              </w:rPr>
              <w:t xml:space="preserve"> in</w:t>
            </w:r>
            <w:r w:rsidRPr="003E6AC9">
              <w:rPr>
                <w:rFonts w:cstheme="minorHAnsi"/>
                <w:color w:val="000000"/>
                <w:sz w:val="28"/>
                <w:szCs w:val="28"/>
              </w:rPr>
              <w:t xml:space="preserve"> literacy are further assessed in the first two of term </w:t>
            </w:r>
            <w:r w:rsidR="009B3165" w:rsidRPr="003E6AC9">
              <w:rPr>
                <w:rFonts w:cstheme="minorHAnsi"/>
                <w:color w:val="000000"/>
                <w:sz w:val="28"/>
                <w:szCs w:val="28"/>
              </w:rPr>
              <w:t>using the Salford reading test and WRAT 4.</w:t>
            </w:r>
            <w:r w:rsidRPr="003E6AC9">
              <w:rPr>
                <w:rFonts w:cstheme="minorHAnsi"/>
                <w:color w:val="000000"/>
                <w:sz w:val="28"/>
                <w:szCs w:val="28"/>
              </w:rPr>
              <w:t xml:space="preserve"> </w:t>
            </w:r>
          </w:p>
          <w:p w14:paraId="296600A7" w14:textId="77777777" w:rsidR="000812CD" w:rsidRDefault="000812CD" w:rsidP="004C4024"/>
        </w:tc>
      </w:tr>
      <w:tr w:rsidR="000812CD" w14:paraId="74145EBA" w14:textId="77777777" w:rsidTr="004C4024">
        <w:tc>
          <w:tcPr>
            <w:tcW w:w="10890" w:type="dxa"/>
            <w:gridSpan w:val="2"/>
          </w:tcPr>
          <w:p w14:paraId="6F551AE6" w14:textId="035CABC3" w:rsidR="009B3165" w:rsidRDefault="000812CD" w:rsidP="008A6DBF">
            <w:pPr>
              <w:widowControl w:val="0"/>
              <w:autoSpaceDE w:val="0"/>
              <w:autoSpaceDN w:val="0"/>
              <w:adjustRightInd w:val="0"/>
              <w:spacing w:after="240"/>
              <w:rPr>
                <w:rFonts w:ascii="MS Mincho" w:eastAsia="MS Mincho" w:hAnsi="MS Mincho" w:cs="MS Mincho"/>
                <w:color w:val="000000"/>
                <w:sz w:val="32"/>
                <w:szCs w:val="32"/>
              </w:rPr>
            </w:pPr>
            <w:r>
              <w:rPr>
                <w:rFonts w:ascii="Futura" w:hAnsi="Futura" w:cs="Futura"/>
                <w:color w:val="000000"/>
                <w:sz w:val="32"/>
                <w:szCs w:val="32"/>
              </w:rPr>
              <w:t>Update on accessibility arrangements</w:t>
            </w:r>
            <w:r>
              <w:rPr>
                <w:rFonts w:ascii="MS Mincho" w:eastAsia="MS Mincho" w:hAnsi="MS Mincho" w:cs="MS Mincho"/>
                <w:color w:val="000000"/>
                <w:sz w:val="32"/>
                <w:szCs w:val="32"/>
              </w:rPr>
              <w:t> </w:t>
            </w:r>
          </w:p>
          <w:p w14:paraId="15360254" w14:textId="6A424CD5" w:rsidR="009B3165" w:rsidRPr="003E6AC9" w:rsidRDefault="009B3165" w:rsidP="008A6DBF">
            <w:pPr>
              <w:widowControl w:val="0"/>
              <w:autoSpaceDE w:val="0"/>
              <w:autoSpaceDN w:val="0"/>
              <w:adjustRightInd w:val="0"/>
              <w:spacing w:after="240"/>
              <w:rPr>
                <w:rFonts w:eastAsia="MS Mincho" w:cstheme="minorHAnsi"/>
                <w:color w:val="000000"/>
                <w:sz w:val="28"/>
                <w:szCs w:val="28"/>
              </w:rPr>
            </w:pPr>
            <w:r w:rsidRPr="003E6AC9">
              <w:rPr>
                <w:rFonts w:eastAsia="MS Mincho" w:cstheme="minorHAnsi"/>
                <w:color w:val="000000"/>
                <w:sz w:val="28"/>
                <w:szCs w:val="28"/>
              </w:rPr>
              <w:t>Specialist equipment has been purchase for our visually impaired students including rulers, computer keyboard, specialist science equipment.</w:t>
            </w:r>
            <w:r w:rsidR="00FB7D50" w:rsidRPr="003E6AC9">
              <w:rPr>
                <w:rFonts w:eastAsia="MS Mincho" w:cstheme="minorHAnsi"/>
                <w:color w:val="000000"/>
                <w:sz w:val="28"/>
                <w:szCs w:val="28"/>
              </w:rPr>
              <w:t xml:space="preserve"> Three students also have regular access to laptops or </w:t>
            </w:r>
            <w:r w:rsidR="00495899" w:rsidRPr="003E6AC9">
              <w:rPr>
                <w:rFonts w:eastAsia="MS Mincho" w:cstheme="minorHAnsi"/>
                <w:color w:val="000000"/>
                <w:sz w:val="28"/>
                <w:szCs w:val="28"/>
              </w:rPr>
              <w:t>iPad</w:t>
            </w:r>
            <w:r w:rsidR="00495899">
              <w:rPr>
                <w:rFonts w:eastAsia="MS Mincho" w:cstheme="minorHAnsi"/>
                <w:color w:val="000000"/>
                <w:sz w:val="28"/>
                <w:szCs w:val="28"/>
              </w:rPr>
              <w:t>s</w:t>
            </w:r>
            <w:r w:rsidR="00FB7D50" w:rsidRPr="003E6AC9">
              <w:rPr>
                <w:rFonts w:eastAsia="MS Mincho" w:cstheme="minorHAnsi"/>
                <w:color w:val="000000"/>
                <w:sz w:val="28"/>
                <w:szCs w:val="28"/>
              </w:rPr>
              <w:t xml:space="preserve"> for recording work.  </w:t>
            </w:r>
            <w:r w:rsidRPr="003E6AC9">
              <w:rPr>
                <w:rFonts w:eastAsia="MS Mincho" w:cstheme="minorHAnsi"/>
                <w:color w:val="000000"/>
                <w:sz w:val="28"/>
                <w:szCs w:val="28"/>
              </w:rPr>
              <w:t xml:space="preserve">   </w:t>
            </w:r>
          </w:p>
          <w:p w14:paraId="6A665D40" w14:textId="77777777" w:rsidR="000812CD" w:rsidRDefault="000812CD" w:rsidP="009B3165">
            <w:pPr>
              <w:widowControl w:val="0"/>
              <w:autoSpaceDE w:val="0"/>
              <w:autoSpaceDN w:val="0"/>
              <w:adjustRightInd w:val="0"/>
              <w:spacing w:after="240"/>
            </w:pPr>
          </w:p>
        </w:tc>
      </w:tr>
      <w:tr w:rsidR="000812CD" w14:paraId="29B16913" w14:textId="77777777" w:rsidTr="004C4024">
        <w:tc>
          <w:tcPr>
            <w:tcW w:w="10890" w:type="dxa"/>
            <w:gridSpan w:val="2"/>
          </w:tcPr>
          <w:p w14:paraId="4C82F6C9" w14:textId="68404C94" w:rsidR="000812CD" w:rsidRDefault="000812CD" w:rsidP="004C4024">
            <w:pPr>
              <w:widowControl w:val="0"/>
              <w:autoSpaceDE w:val="0"/>
              <w:autoSpaceDN w:val="0"/>
              <w:adjustRightInd w:val="0"/>
              <w:spacing w:after="240" w:line="420" w:lineRule="atLeast"/>
              <w:rPr>
                <w:rFonts w:ascii="Times" w:hAnsi="Times" w:cs="Times"/>
                <w:color w:val="000000"/>
              </w:rPr>
            </w:pPr>
            <w:r>
              <w:rPr>
                <w:rFonts w:ascii="Futura" w:hAnsi="Futura" w:cs="Futura"/>
                <w:color w:val="000000"/>
                <w:sz w:val="32"/>
                <w:szCs w:val="32"/>
              </w:rPr>
              <w:t xml:space="preserve">Outcome of </w:t>
            </w:r>
            <w:r w:rsidR="006E2BC2">
              <w:rPr>
                <w:rFonts w:ascii="Futura" w:hAnsi="Futura" w:cs="Futura"/>
                <w:color w:val="000000"/>
                <w:sz w:val="32"/>
                <w:szCs w:val="32"/>
              </w:rPr>
              <w:t xml:space="preserve">previous </w:t>
            </w:r>
            <w:r>
              <w:rPr>
                <w:rFonts w:ascii="Futura" w:hAnsi="Futura" w:cs="Futura"/>
                <w:color w:val="000000"/>
                <w:sz w:val="32"/>
                <w:szCs w:val="32"/>
              </w:rPr>
              <w:t xml:space="preserve">school priorities for SEN (as outlined in the SEN action plan or the SEN-related elements of a school improvement plan) </w:t>
            </w:r>
          </w:p>
          <w:p w14:paraId="5742688A" w14:textId="77777777" w:rsidR="000812CD" w:rsidRDefault="000812CD" w:rsidP="004C4024"/>
        </w:tc>
      </w:tr>
      <w:tr w:rsidR="000812CD" w14:paraId="5002BDC0" w14:textId="77777777" w:rsidTr="004C4024">
        <w:tc>
          <w:tcPr>
            <w:tcW w:w="10890" w:type="dxa"/>
            <w:gridSpan w:val="2"/>
          </w:tcPr>
          <w:p w14:paraId="54A4D15B" w14:textId="77777777" w:rsidR="00783B0E" w:rsidRDefault="000812CD" w:rsidP="006E2BC2">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Update on SEN provision arrangements (curriculum and interventions)</w:t>
            </w:r>
          </w:p>
          <w:p w14:paraId="70176B7F" w14:textId="77777777" w:rsidR="00783B0E" w:rsidRPr="00CA6878" w:rsidRDefault="00783B0E" w:rsidP="006E2BC2">
            <w:pPr>
              <w:widowControl w:val="0"/>
              <w:autoSpaceDE w:val="0"/>
              <w:autoSpaceDN w:val="0"/>
              <w:adjustRightInd w:val="0"/>
              <w:spacing w:after="240"/>
              <w:rPr>
                <w:rFonts w:cstheme="minorHAnsi"/>
                <w:color w:val="000000"/>
                <w:sz w:val="32"/>
                <w:szCs w:val="32"/>
              </w:rPr>
            </w:pPr>
            <w:r w:rsidRPr="00CA6878">
              <w:rPr>
                <w:rFonts w:cstheme="minorHAnsi"/>
                <w:color w:val="000000"/>
                <w:sz w:val="32"/>
                <w:szCs w:val="32"/>
              </w:rPr>
              <w:t>The department currently run many interventions and this year we are able to dedicate 42 hours over a fortnight to literacy intervention. This takes the form of mainly ‘spelling detectives’ and ‘</w:t>
            </w:r>
            <w:proofErr w:type="spellStart"/>
            <w:r w:rsidRPr="00CA6878">
              <w:rPr>
                <w:rFonts w:cstheme="minorHAnsi"/>
                <w:color w:val="000000"/>
                <w:sz w:val="32"/>
                <w:szCs w:val="32"/>
              </w:rPr>
              <w:t>pixl</w:t>
            </w:r>
            <w:proofErr w:type="spellEnd"/>
            <w:r w:rsidRPr="00CA6878">
              <w:rPr>
                <w:rFonts w:cstheme="minorHAnsi"/>
                <w:color w:val="000000"/>
                <w:sz w:val="32"/>
                <w:szCs w:val="32"/>
              </w:rPr>
              <w:t xml:space="preserve"> code’. Morning readers is still running during assembly time and continues to be very successful.</w:t>
            </w:r>
          </w:p>
          <w:p w14:paraId="1618C9CF" w14:textId="647AD985" w:rsidR="000812CD" w:rsidRPr="00B105DD" w:rsidRDefault="00783B0E" w:rsidP="00783B0E">
            <w:pPr>
              <w:widowControl w:val="0"/>
              <w:autoSpaceDE w:val="0"/>
              <w:autoSpaceDN w:val="0"/>
              <w:adjustRightInd w:val="0"/>
              <w:spacing w:after="240"/>
              <w:rPr>
                <w:rFonts w:ascii="Times" w:hAnsi="Times" w:cs="Times"/>
                <w:color w:val="000000"/>
              </w:rPr>
            </w:pPr>
            <w:r w:rsidRPr="00CA6878">
              <w:rPr>
                <w:rFonts w:cstheme="minorHAnsi"/>
                <w:color w:val="000000"/>
                <w:sz w:val="32"/>
                <w:szCs w:val="32"/>
              </w:rPr>
              <w:lastRenderedPageBreak/>
              <w:t>SEMH will continue to be a focus for the school and here the department is in close contact with Jo Dennis (language, interaction and communication expert) SEN currently runs ‘Talk about’ as an opportunity for small groups of students to work on the</w:t>
            </w:r>
            <w:r w:rsidR="009323C7">
              <w:rPr>
                <w:rFonts w:cstheme="minorHAnsi"/>
                <w:color w:val="000000"/>
                <w:sz w:val="32"/>
                <w:szCs w:val="32"/>
              </w:rPr>
              <w:t>ir</w:t>
            </w:r>
            <w:r w:rsidRPr="00CA6878">
              <w:rPr>
                <w:rFonts w:cstheme="minorHAnsi"/>
                <w:color w:val="000000"/>
                <w:sz w:val="32"/>
                <w:szCs w:val="32"/>
              </w:rPr>
              <w:t xml:space="preserve"> communication and interaction skills. Mentoring is a big part of services offered and currently as a team we </w:t>
            </w:r>
            <w:r w:rsidR="009323C7" w:rsidRPr="00CA6878">
              <w:rPr>
                <w:rFonts w:cstheme="minorHAnsi"/>
                <w:color w:val="000000"/>
                <w:sz w:val="32"/>
                <w:szCs w:val="32"/>
              </w:rPr>
              <w:t>can</w:t>
            </w:r>
            <w:r w:rsidRPr="00CA6878">
              <w:rPr>
                <w:rFonts w:cstheme="minorHAnsi"/>
                <w:color w:val="000000"/>
                <w:sz w:val="32"/>
                <w:szCs w:val="32"/>
              </w:rPr>
              <w:t xml:space="preserve"> offer 15 hours of service each week to carefully selected students.</w:t>
            </w:r>
            <w:r>
              <w:rPr>
                <w:rFonts w:ascii="Futura" w:hAnsi="Futura" w:cs="Futura"/>
                <w:color w:val="000000"/>
                <w:sz w:val="32"/>
                <w:szCs w:val="32"/>
              </w:rPr>
              <w:t xml:space="preserve">    </w:t>
            </w:r>
            <w:r w:rsidR="000812CD">
              <w:rPr>
                <w:rFonts w:ascii="MS Mincho" w:eastAsia="MS Mincho" w:hAnsi="MS Mincho" w:cs="MS Mincho"/>
                <w:color w:val="000000"/>
                <w:sz w:val="32"/>
                <w:szCs w:val="32"/>
              </w:rPr>
              <w:t> </w:t>
            </w:r>
            <w:r w:rsidR="000812CD" w:rsidRPr="00B105DD">
              <w:rPr>
                <w:rFonts w:ascii="Futura" w:hAnsi="Futura" w:cs="Futura"/>
                <w:color w:val="000000"/>
                <w:sz w:val="20"/>
                <w:szCs w:val="20"/>
              </w:rPr>
              <w:t xml:space="preserve"> </w:t>
            </w:r>
          </w:p>
        </w:tc>
      </w:tr>
      <w:tr w:rsidR="000812CD" w14:paraId="015D9C9A" w14:textId="77777777" w:rsidTr="004C4024">
        <w:tc>
          <w:tcPr>
            <w:tcW w:w="10890" w:type="dxa"/>
            <w:gridSpan w:val="2"/>
          </w:tcPr>
          <w:p w14:paraId="14364765" w14:textId="3322C497" w:rsidR="000812CD" w:rsidRPr="00B105DD" w:rsidRDefault="000812CD" w:rsidP="006E2BC2">
            <w:pPr>
              <w:widowControl w:val="0"/>
              <w:autoSpaceDE w:val="0"/>
              <w:autoSpaceDN w:val="0"/>
              <w:adjustRightInd w:val="0"/>
              <w:spacing w:after="240"/>
              <w:rPr>
                <w:rFonts w:ascii="Times" w:hAnsi="Times" w:cs="Times"/>
                <w:color w:val="000000"/>
              </w:rPr>
            </w:pPr>
            <w:r>
              <w:rPr>
                <w:rFonts w:ascii="Futura" w:hAnsi="Futura" w:cs="Futura"/>
                <w:color w:val="000000"/>
                <w:sz w:val="32"/>
                <w:szCs w:val="32"/>
              </w:rPr>
              <w:lastRenderedPageBreak/>
              <w:t>SEN budget allocation for last 12 months</w:t>
            </w:r>
            <w:r>
              <w:rPr>
                <w:rFonts w:ascii="MS Mincho" w:eastAsia="MS Mincho" w:hAnsi="MS Mincho" w:cs="MS Mincho"/>
                <w:color w:val="000000"/>
                <w:sz w:val="32"/>
                <w:szCs w:val="32"/>
              </w:rPr>
              <w:t> </w:t>
            </w:r>
            <w:r>
              <w:rPr>
                <w:rFonts w:ascii="Futura" w:hAnsi="Futura" w:cs="Futura"/>
                <w:color w:val="000000"/>
                <w:sz w:val="26"/>
                <w:szCs w:val="26"/>
              </w:rPr>
              <w:t xml:space="preserve"> </w:t>
            </w:r>
          </w:p>
        </w:tc>
      </w:tr>
      <w:tr w:rsidR="000812CD" w14:paraId="57A29B4E" w14:textId="77777777" w:rsidTr="004C4024">
        <w:tc>
          <w:tcPr>
            <w:tcW w:w="10890" w:type="dxa"/>
            <w:gridSpan w:val="2"/>
          </w:tcPr>
          <w:p w14:paraId="7F4D682E" w14:textId="57DCA4E1" w:rsidR="000812CD" w:rsidRPr="00B105DD" w:rsidRDefault="000812CD" w:rsidP="006E2BC2">
            <w:pPr>
              <w:widowControl w:val="0"/>
              <w:autoSpaceDE w:val="0"/>
              <w:autoSpaceDN w:val="0"/>
              <w:adjustRightInd w:val="0"/>
              <w:spacing w:after="240"/>
              <w:rPr>
                <w:rFonts w:ascii="Times" w:hAnsi="Times" w:cs="Times"/>
                <w:color w:val="000000"/>
              </w:rPr>
            </w:pPr>
            <w:r>
              <w:rPr>
                <w:rFonts w:ascii="Futura" w:hAnsi="Futura" w:cs="Futura"/>
                <w:color w:val="000000"/>
                <w:sz w:val="32"/>
                <w:szCs w:val="32"/>
              </w:rPr>
              <w:t>SEN staffing resources</w:t>
            </w:r>
            <w:r>
              <w:rPr>
                <w:rFonts w:ascii="MS Mincho" w:eastAsia="MS Mincho" w:hAnsi="MS Mincho" w:cs="MS Mincho"/>
                <w:color w:val="000000"/>
                <w:sz w:val="32"/>
                <w:szCs w:val="32"/>
              </w:rPr>
              <w:t> </w:t>
            </w:r>
            <w:r w:rsidRPr="00B105DD">
              <w:rPr>
                <w:rFonts w:ascii="Futura" w:hAnsi="Futura" w:cs="Futura"/>
                <w:color w:val="000000"/>
                <w:sz w:val="20"/>
                <w:szCs w:val="20"/>
              </w:rPr>
              <w:t xml:space="preserve"> </w:t>
            </w:r>
          </w:p>
        </w:tc>
      </w:tr>
      <w:tr w:rsidR="000812CD" w14:paraId="19E48A62" w14:textId="77777777" w:rsidTr="004C4024">
        <w:tc>
          <w:tcPr>
            <w:tcW w:w="10890" w:type="dxa"/>
            <w:gridSpan w:val="2"/>
          </w:tcPr>
          <w:p w14:paraId="142CE89D" w14:textId="46AE2547" w:rsidR="000812CD" w:rsidRPr="00B105DD" w:rsidRDefault="000812CD" w:rsidP="006E2BC2">
            <w:pPr>
              <w:widowControl w:val="0"/>
              <w:autoSpaceDE w:val="0"/>
              <w:autoSpaceDN w:val="0"/>
              <w:adjustRightInd w:val="0"/>
              <w:spacing w:after="240"/>
              <w:rPr>
                <w:rFonts w:ascii="Times" w:hAnsi="Times" w:cs="Times"/>
                <w:color w:val="000000"/>
              </w:rPr>
            </w:pPr>
            <w:r>
              <w:rPr>
                <w:rFonts w:ascii="Futura" w:hAnsi="Futura" w:cs="Futura"/>
                <w:color w:val="000000"/>
                <w:sz w:val="32"/>
                <w:szCs w:val="32"/>
              </w:rPr>
              <w:t>Complaints relating to SEN in last 12 months</w:t>
            </w:r>
            <w:r>
              <w:rPr>
                <w:rFonts w:ascii="MS Mincho" w:eastAsia="MS Mincho" w:hAnsi="MS Mincho" w:cs="MS Mincho"/>
                <w:color w:val="000000"/>
                <w:sz w:val="32"/>
                <w:szCs w:val="32"/>
              </w:rPr>
              <w:t> </w:t>
            </w:r>
            <w:r>
              <w:rPr>
                <w:rFonts w:ascii="Futura" w:hAnsi="Futura" w:cs="Futura"/>
                <w:color w:val="000000"/>
                <w:sz w:val="26"/>
                <w:szCs w:val="26"/>
              </w:rPr>
              <w:t xml:space="preserve"> </w:t>
            </w:r>
          </w:p>
        </w:tc>
      </w:tr>
      <w:tr w:rsidR="000812CD" w14:paraId="08382B41" w14:textId="77777777" w:rsidTr="009323C7">
        <w:trPr>
          <w:trHeight w:val="70"/>
        </w:trPr>
        <w:tc>
          <w:tcPr>
            <w:tcW w:w="10890" w:type="dxa"/>
            <w:gridSpan w:val="2"/>
          </w:tcPr>
          <w:p w14:paraId="6F9D7FAE" w14:textId="21D8F0F5" w:rsidR="000812CD" w:rsidRPr="00B105DD" w:rsidRDefault="000812CD" w:rsidP="006E2BC2">
            <w:pPr>
              <w:widowControl w:val="0"/>
              <w:autoSpaceDE w:val="0"/>
              <w:autoSpaceDN w:val="0"/>
              <w:adjustRightInd w:val="0"/>
              <w:spacing w:after="240"/>
              <w:rPr>
                <w:rFonts w:ascii="Times" w:hAnsi="Times" w:cs="Times"/>
                <w:color w:val="000000"/>
              </w:rPr>
            </w:pPr>
            <w:r>
              <w:rPr>
                <w:rFonts w:ascii="Futura" w:hAnsi="Futura" w:cs="Futura"/>
                <w:color w:val="000000"/>
                <w:sz w:val="32"/>
                <w:szCs w:val="32"/>
              </w:rPr>
              <w:t>SEN school CPD arrangements in last 12 months</w:t>
            </w:r>
            <w:r>
              <w:rPr>
                <w:rFonts w:ascii="MS Mincho" w:eastAsia="MS Mincho" w:hAnsi="MS Mincho" w:cs="MS Mincho"/>
                <w:color w:val="000000"/>
                <w:sz w:val="32"/>
                <w:szCs w:val="32"/>
              </w:rPr>
              <w:t> </w:t>
            </w:r>
            <w:r>
              <w:rPr>
                <w:rFonts w:ascii="Futura" w:hAnsi="Futura" w:cs="Futura"/>
                <w:color w:val="000000"/>
                <w:sz w:val="26"/>
                <w:szCs w:val="26"/>
              </w:rPr>
              <w:t xml:space="preserve"> </w:t>
            </w:r>
          </w:p>
        </w:tc>
      </w:tr>
      <w:tr w:rsidR="000812CD" w14:paraId="2C494164" w14:textId="77777777" w:rsidTr="004C4024">
        <w:tc>
          <w:tcPr>
            <w:tcW w:w="10890" w:type="dxa"/>
            <w:gridSpan w:val="2"/>
          </w:tcPr>
          <w:p w14:paraId="4A85980A" w14:textId="77777777" w:rsidR="001B21A2" w:rsidRDefault="000812CD" w:rsidP="006E2BC2">
            <w:pPr>
              <w:widowControl w:val="0"/>
              <w:autoSpaceDE w:val="0"/>
              <w:autoSpaceDN w:val="0"/>
              <w:adjustRightInd w:val="0"/>
              <w:spacing w:after="240"/>
              <w:rPr>
                <w:rFonts w:ascii="MS Mincho" w:eastAsia="MS Mincho" w:hAnsi="MS Mincho" w:cs="MS Mincho"/>
                <w:color w:val="000000"/>
                <w:sz w:val="32"/>
                <w:szCs w:val="32"/>
              </w:rPr>
            </w:pPr>
            <w:r>
              <w:rPr>
                <w:rFonts w:ascii="Futura" w:hAnsi="Futura" w:cs="Futura"/>
                <w:color w:val="000000"/>
                <w:sz w:val="32"/>
                <w:szCs w:val="32"/>
              </w:rPr>
              <w:t>SEN parent partnership activities in last 12 months</w:t>
            </w:r>
            <w:r>
              <w:rPr>
                <w:rFonts w:ascii="MS Mincho" w:eastAsia="MS Mincho" w:hAnsi="MS Mincho" w:cs="MS Mincho"/>
                <w:color w:val="000000"/>
                <w:sz w:val="32"/>
                <w:szCs w:val="32"/>
              </w:rPr>
              <w:t> </w:t>
            </w:r>
          </w:p>
          <w:p w14:paraId="6121CB2C" w14:textId="551A13CA" w:rsidR="000812CD" w:rsidRPr="00CA6878" w:rsidRDefault="001B21A2" w:rsidP="006E2BC2">
            <w:pPr>
              <w:widowControl w:val="0"/>
              <w:autoSpaceDE w:val="0"/>
              <w:autoSpaceDN w:val="0"/>
              <w:adjustRightInd w:val="0"/>
              <w:spacing w:after="240"/>
              <w:rPr>
                <w:rFonts w:cstheme="minorHAnsi"/>
                <w:color w:val="000000"/>
                <w:sz w:val="28"/>
                <w:szCs w:val="28"/>
              </w:rPr>
            </w:pPr>
            <w:r w:rsidRPr="00CA6878">
              <w:rPr>
                <w:rFonts w:eastAsia="MS Mincho" w:cstheme="minorHAnsi"/>
                <w:color w:val="000000"/>
                <w:sz w:val="28"/>
                <w:szCs w:val="28"/>
              </w:rPr>
              <w:t>Parental involvement in decisions around their child is a clear and important guide line as set out in the Sen code of practice. Parents must be kept informed of decisions and have at least once yearly meetings to review the progress of their child this done through the annual review process.</w:t>
            </w:r>
            <w:r w:rsidR="000812CD" w:rsidRPr="00CA6878">
              <w:rPr>
                <w:rFonts w:cstheme="minorHAnsi"/>
                <w:color w:val="000000"/>
                <w:sz w:val="28"/>
                <w:szCs w:val="28"/>
              </w:rPr>
              <w:t xml:space="preserve"> </w:t>
            </w:r>
          </w:p>
          <w:p w14:paraId="4643A622" w14:textId="38218094" w:rsidR="00AA3678" w:rsidRPr="00AA3678" w:rsidRDefault="00D16CA1" w:rsidP="001B21A2">
            <w:pPr>
              <w:widowControl w:val="0"/>
              <w:autoSpaceDE w:val="0"/>
              <w:autoSpaceDN w:val="0"/>
              <w:adjustRightInd w:val="0"/>
              <w:spacing w:after="240"/>
              <w:rPr>
                <w:rFonts w:ascii="Futura" w:hAnsi="Futura" w:cs="Futura"/>
                <w:color w:val="000000"/>
                <w:sz w:val="26"/>
                <w:szCs w:val="26"/>
              </w:rPr>
            </w:pPr>
            <w:r w:rsidRPr="00CA6878">
              <w:rPr>
                <w:rFonts w:cstheme="minorHAnsi"/>
                <w:color w:val="000000"/>
                <w:sz w:val="28"/>
                <w:szCs w:val="28"/>
              </w:rPr>
              <w:t xml:space="preserve">SEN at </w:t>
            </w:r>
            <w:r w:rsidR="00495899" w:rsidRPr="00CA6878">
              <w:rPr>
                <w:rFonts w:cstheme="minorHAnsi"/>
                <w:color w:val="000000"/>
                <w:sz w:val="28"/>
                <w:szCs w:val="28"/>
              </w:rPr>
              <w:t>Brymore</w:t>
            </w:r>
            <w:bookmarkStart w:id="0" w:name="_GoBack"/>
            <w:bookmarkEnd w:id="0"/>
            <w:r w:rsidRPr="00CA6878">
              <w:rPr>
                <w:rFonts w:cstheme="minorHAnsi"/>
                <w:color w:val="000000"/>
                <w:sz w:val="28"/>
                <w:szCs w:val="28"/>
              </w:rPr>
              <w:t xml:space="preserve"> recognises the important roles parents have in supporting their </w:t>
            </w:r>
            <w:r w:rsidR="00D0340F" w:rsidRPr="00CA6878">
              <w:rPr>
                <w:rFonts w:cstheme="minorHAnsi"/>
                <w:color w:val="000000"/>
                <w:sz w:val="28"/>
                <w:szCs w:val="28"/>
              </w:rPr>
              <w:t>child’s</w:t>
            </w:r>
            <w:r w:rsidRPr="00CA6878">
              <w:rPr>
                <w:rFonts w:cstheme="minorHAnsi"/>
                <w:color w:val="000000"/>
                <w:sz w:val="28"/>
                <w:szCs w:val="28"/>
              </w:rPr>
              <w:t xml:space="preserve"> progress </w:t>
            </w:r>
            <w:r w:rsidR="00D0340F" w:rsidRPr="00CA6878">
              <w:rPr>
                <w:rFonts w:cstheme="minorHAnsi"/>
                <w:color w:val="000000"/>
                <w:sz w:val="28"/>
                <w:szCs w:val="28"/>
              </w:rPr>
              <w:t>and values their contribution to this process.</w:t>
            </w:r>
            <w:r w:rsidR="00D0340F">
              <w:rPr>
                <w:rFonts w:ascii="Futura" w:hAnsi="Futura" w:cs="Futura"/>
                <w:color w:val="000000"/>
                <w:sz w:val="26"/>
                <w:szCs w:val="26"/>
              </w:rPr>
              <w:t xml:space="preserve"> </w:t>
            </w:r>
            <w:r>
              <w:rPr>
                <w:rFonts w:ascii="Futura" w:hAnsi="Futura" w:cs="Futura"/>
                <w:color w:val="000000"/>
                <w:sz w:val="26"/>
                <w:szCs w:val="26"/>
              </w:rPr>
              <w:t xml:space="preserve"> </w:t>
            </w:r>
          </w:p>
        </w:tc>
      </w:tr>
      <w:tr w:rsidR="00AA3678" w14:paraId="491BFE33" w14:textId="77777777" w:rsidTr="004C4024">
        <w:tc>
          <w:tcPr>
            <w:tcW w:w="10890" w:type="dxa"/>
            <w:gridSpan w:val="2"/>
          </w:tcPr>
          <w:p w14:paraId="7AFF7E85" w14:textId="77777777" w:rsidR="00AA3678" w:rsidRDefault="00AA3678" w:rsidP="006E2BC2">
            <w:pPr>
              <w:widowControl w:val="0"/>
              <w:autoSpaceDE w:val="0"/>
              <w:autoSpaceDN w:val="0"/>
              <w:adjustRightInd w:val="0"/>
              <w:spacing w:after="240"/>
              <w:rPr>
                <w:rFonts w:ascii="MS Mincho" w:eastAsia="MS Mincho" w:hAnsi="MS Mincho" w:cs="MS Mincho"/>
                <w:color w:val="000000"/>
                <w:sz w:val="32"/>
                <w:szCs w:val="32"/>
              </w:rPr>
            </w:pPr>
            <w:r>
              <w:rPr>
                <w:rFonts w:ascii="Futura" w:hAnsi="Futura" w:cs="Futura"/>
                <w:color w:val="000000"/>
                <w:sz w:val="32"/>
                <w:szCs w:val="32"/>
              </w:rPr>
              <w:t>Impact of partnerships with external agencies and other schools to improve quality of SEN provision in last 12 months</w:t>
            </w:r>
            <w:r>
              <w:rPr>
                <w:rFonts w:ascii="MS Mincho" w:eastAsia="MS Mincho" w:hAnsi="MS Mincho" w:cs="MS Mincho"/>
                <w:color w:val="000000"/>
                <w:sz w:val="32"/>
                <w:szCs w:val="32"/>
              </w:rPr>
              <w:t> </w:t>
            </w:r>
          </w:p>
          <w:p w14:paraId="0FA91172" w14:textId="0D62712A" w:rsidR="00FB7D50" w:rsidRPr="00984A6A" w:rsidRDefault="00FB7D50" w:rsidP="006E2BC2">
            <w:pPr>
              <w:widowControl w:val="0"/>
              <w:autoSpaceDE w:val="0"/>
              <w:autoSpaceDN w:val="0"/>
              <w:adjustRightInd w:val="0"/>
              <w:spacing w:after="240"/>
              <w:rPr>
                <w:rFonts w:eastAsia="MS Mincho" w:cstheme="minorHAnsi"/>
                <w:color w:val="000000"/>
                <w:sz w:val="28"/>
                <w:szCs w:val="28"/>
              </w:rPr>
            </w:pPr>
            <w:r w:rsidRPr="00984A6A">
              <w:rPr>
                <w:rFonts w:eastAsia="MS Mincho" w:cstheme="minorHAnsi"/>
                <w:color w:val="000000"/>
                <w:sz w:val="28"/>
                <w:szCs w:val="28"/>
              </w:rPr>
              <w:t>The school now has close links with other SEN departments in the trust this is mainly facilitated by the trust lead in th</w:t>
            </w:r>
            <w:r w:rsidR="00984A6A" w:rsidRPr="00984A6A">
              <w:rPr>
                <w:rFonts w:eastAsia="MS Mincho" w:cstheme="minorHAnsi"/>
                <w:color w:val="000000"/>
                <w:sz w:val="28"/>
                <w:szCs w:val="28"/>
              </w:rPr>
              <w:t>is</w:t>
            </w:r>
            <w:r w:rsidRPr="00984A6A">
              <w:rPr>
                <w:rFonts w:eastAsia="MS Mincho" w:cstheme="minorHAnsi"/>
                <w:color w:val="000000"/>
                <w:sz w:val="28"/>
                <w:szCs w:val="28"/>
              </w:rPr>
              <w:t xml:space="preserve"> area Ali Biddle. Work has already taken place in moderation of the new </w:t>
            </w:r>
            <w:r w:rsidR="00984A6A">
              <w:rPr>
                <w:rFonts w:eastAsia="MS Mincho" w:cstheme="minorHAnsi"/>
                <w:color w:val="000000"/>
                <w:sz w:val="28"/>
                <w:szCs w:val="28"/>
              </w:rPr>
              <w:t>funding</w:t>
            </w:r>
            <w:r w:rsidRPr="00984A6A">
              <w:rPr>
                <w:rFonts w:eastAsia="MS Mincho" w:cstheme="minorHAnsi"/>
                <w:color w:val="000000"/>
                <w:sz w:val="28"/>
                <w:szCs w:val="28"/>
              </w:rPr>
              <w:t xml:space="preserve"> system. The sharing skills and experience is already benefiting the CPD of staff and operational running of departments.</w:t>
            </w:r>
          </w:p>
          <w:p w14:paraId="38AFBE15" w14:textId="36A5BF4F" w:rsidR="00FB7D50" w:rsidRDefault="00FB7D50" w:rsidP="006E2BC2">
            <w:pPr>
              <w:widowControl w:val="0"/>
              <w:autoSpaceDE w:val="0"/>
              <w:autoSpaceDN w:val="0"/>
              <w:adjustRightInd w:val="0"/>
              <w:spacing w:after="240"/>
              <w:rPr>
                <w:rFonts w:ascii="Futura" w:hAnsi="Futura" w:cs="Futura"/>
                <w:color w:val="000000"/>
                <w:sz w:val="32"/>
                <w:szCs w:val="32"/>
              </w:rPr>
            </w:pPr>
          </w:p>
        </w:tc>
      </w:tr>
      <w:tr w:rsidR="000812CD" w14:paraId="61A2E39B" w14:textId="77777777" w:rsidTr="00984A6A">
        <w:trPr>
          <w:trHeight w:val="70"/>
        </w:trPr>
        <w:tc>
          <w:tcPr>
            <w:tcW w:w="10890" w:type="dxa"/>
            <w:gridSpan w:val="2"/>
          </w:tcPr>
          <w:p w14:paraId="115E6768" w14:textId="1AEDF315" w:rsidR="006E2BC2" w:rsidRPr="00B105DD" w:rsidRDefault="000812CD" w:rsidP="006E2BC2">
            <w:pPr>
              <w:widowControl w:val="0"/>
              <w:autoSpaceDE w:val="0"/>
              <w:autoSpaceDN w:val="0"/>
              <w:adjustRightInd w:val="0"/>
              <w:spacing w:after="240"/>
              <w:rPr>
                <w:rFonts w:ascii="Futura" w:hAnsi="Futura" w:cs="Futura"/>
                <w:color w:val="000000"/>
                <w:sz w:val="20"/>
                <w:szCs w:val="20"/>
              </w:rPr>
            </w:pPr>
            <w:r>
              <w:rPr>
                <w:rFonts w:ascii="Futura" w:hAnsi="Futura" w:cs="Futura"/>
                <w:color w:val="000000"/>
                <w:sz w:val="32"/>
                <w:szCs w:val="32"/>
              </w:rPr>
              <w:lastRenderedPageBreak/>
              <w:t>Other initiatives in last 12 months to improve quality of SEN provision leading to improved outcomes</w:t>
            </w:r>
            <w:r>
              <w:rPr>
                <w:rFonts w:ascii="MS Mincho" w:eastAsia="MS Mincho" w:hAnsi="MS Mincho" w:cs="MS Mincho"/>
                <w:color w:val="000000"/>
                <w:sz w:val="32"/>
                <w:szCs w:val="32"/>
              </w:rPr>
              <w:t> </w:t>
            </w:r>
          </w:p>
          <w:p w14:paraId="56E9C7CD" w14:textId="279C2B0D" w:rsidR="000812CD" w:rsidRPr="00B105DD" w:rsidRDefault="000812CD" w:rsidP="004C4024">
            <w:pPr>
              <w:widowControl w:val="0"/>
              <w:autoSpaceDE w:val="0"/>
              <w:autoSpaceDN w:val="0"/>
              <w:adjustRightInd w:val="0"/>
              <w:spacing w:after="240"/>
              <w:rPr>
                <w:rFonts w:ascii="Times" w:hAnsi="Times" w:cs="Times"/>
                <w:color w:val="000000"/>
                <w:sz w:val="20"/>
                <w:szCs w:val="20"/>
              </w:rPr>
            </w:pPr>
            <w:r w:rsidRPr="00B105DD">
              <w:rPr>
                <w:rFonts w:ascii="Futura" w:hAnsi="Futura" w:cs="Futura"/>
                <w:color w:val="000000"/>
                <w:sz w:val="20"/>
                <w:szCs w:val="20"/>
              </w:rPr>
              <w:t xml:space="preserve"> </w:t>
            </w:r>
          </w:p>
        </w:tc>
      </w:tr>
      <w:tr w:rsidR="006E2BC2" w14:paraId="48635C0A" w14:textId="77777777" w:rsidTr="004C4024">
        <w:tc>
          <w:tcPr>
            <w:tcW w:w="10890" w:type="dxa"/>
            <w:gridSpan w:val="2"/>
          </w:tcPr>
          <w:p w14:paraId="01977128" w14:textId="77777777" w:rsidR="006E2BC2" w:rsidRDefault="006E2BC2" w:rsidP="006E2BC2">
            <w:pPr>
              <w:widowControl w:val="0"/>
              <w:autoSpaceDE w:val="0"/>
              <w:autoSpaceDN w:val="0"/>
              <w:adjustRightInd w:val="0"/>
              <w:spacing w:after="240"/>
              <w:rPr>
                <w:rFonts w:ascii="Futura" w:hAnsi="Futura" w:cs="Futura"/>
                <w:color w:val="000000"/>
                <w:sz w:val="32"/>
                <w:szCs w:val="32"/>
              </w:rPr>
            </w:pPr>
            <w:r>
              <w:rPr>
                <w:rFonts w:ascii="Futura" w:hAnsi="Futura" w:cs="Futura"/>
                <w:color w:val="000000"/>
                <w:sz w:val="32"/>
                <w:szCs w:val="32"/>
              </w:rPr>
              <w:t>SEN subsequent developments (Linked with new SEN Development Plan)</w:t>
            </w:r>
          </w:p>
          <w:p w14:paraId="62D0E35B"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 xml:space="preserve">A clear focus needs to be on SEMH students as they were the lowest SEN cohort to perform with a negative residual. More work needs to go into understanding the needs of this complex group of students. Including CPD for teaching and support staff around supporting these students who can lack in resilience whilst focussing in class student support services and school educational psychologist to support with this process.  Individual academic and personal mentoring for each student working on targeted support. Clear academic and professional goals created and supported for students to focus on the next phase of their lives. Close contact with parents around parental support and guidance during exam preparation.   </w:t>
            </w:r>
          </w:p>
          <w:p w14:paraId="02AEF849"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Homework opportunities for SEN student to access support with revision and reading of material. To be established by MC and maintained by JW</w:t>
            </w:r>
          </w:p>
          <w:p w14:paraId="0D77B8A0"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 xml:space="preserve">Investigating program ‘Read, write, gold’.  This will allow students requiring a reader and/or a scribe to gain this exam consideration and students in lower years to practice with its use before examination series commence.  (a computer programme to support their reading of material and scribing)    </w:t>
            </w:r>
          </w:p>
          <w:p w14:paraId="44F29D21"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Early identification of SEN students not meeting expected progress from the autumn data drop followed by closer tracking thereafter.</w:t>
            </w:r>
          </w:p>
          <w:p w14:paraId="2A82E503"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Investigate exam concessions and accessing all entitlements, such as coloured exam paper and the use of overlays as standard practice within the academy.</w:t>
            </w:r>
          </w:p>
          <w:p w14:paraId="7A987EC0"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 xml:space="preserve">Monitoring the use of SEN friendly teaching practices and resources - this will feed into a structured and relevant CPD programme for all staff. </w:t>
            </w:r>
          </w:p>
          <w:p w14:paraId="474383B6"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lastRenderedPageBreak/>
              <w:t xml:space="preserve">Introducing staff to the importance of highlighted student lists with key actions for all focus groups. </w:t>
            </w:r>
          </w:p>
          <w:p w14:paraId="0420AF9E"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The introduction of an SEN file in each department.  This will allow all staff to recognise the SEN students they teach and highlight good practices for teaching and breed awareness of current strategies.  This will also need to include how of store sensitive information properly.)</w:t>
            </w:r>
          </w:p>
          <w:p w14:paraId="74FDF359" w14:textId="77777777" w:rsidR="001B21A2" w:rsidRPr="00984A6A" w:rsidRDefault="001B21A2" w:rsidP="001B21A2">
            <w:pPr>
              <w:pStyle w:val="ListParagraph"/>
              <w:numPr>
                <w:ilvl w:val="0"/>
                <w:numId w:val="2"/>
              </w:numPr>
              <w:rPr>
                <w:rFonts w:cstheme="minorHAnsi"/>
                <w:sz w:val="28"/>
                <w:szCs w:val="28"/>
              </w:rPr>
            </w:pPr>
            <w:r w:rsidRPr="00984A6A">
              <w:rPr>
                <w:rFonts w:cstheme="minorHAnsi"/>
                <w:sz w:val="28"/>
                <w:szCs w:val="28"/>
              </w:rPr>
              <w:t xml:space="preserve">Introduction of IEP’s as a way of disseminating information from SENCO to all staff. </w:t>
            </w:r>
          </w:p>
          <w:p w14:paraId="6C45AF4F" w14:textId="3CCC3845" w:rsidR="001B21A2" w:rsidRDefault="001B21A2" w:rsidP="006E2BC2">
            <w:pPr>
              <w:widowControl w:val="0"/>
              <w:autoSpaceDE w:val="0"/>
              <w:autoSpaceDN w:val="0"/>
              <w:adjustRightInd w:val="0"/>
              <w:spacing w:after="240"/>
              <w:rPr>
                <w:rFonts w:ascii="Futura" w:hAnsi="Futura" w:cs="Futura"/>
                <w:color w:val="000000"/>
                <w:sz w:val="32"/>
                <w:szCs w:val="32"/>
              </w:rPr>
            </w:pPr>
          </w:p>
        </w:tc>
      </w:tr>
    </w:tbl>
    <w:p w14:paraId="41028CDF" w14:textId="77777777" w:rsidR="000812CD" w:rsidRDefault="000812CD" w:rsidP="000812CD"/>
    <w:p w14:paraId="19E31F81" w14:textId="77777777" w:rsidR="009A3A8B" w:rsidRDefault="009A3A8B"/>
    <w:sectPr w:rsidR="009A3A8B" w:rsidSect="002C408F">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800000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6B74AE"/>
    <w:multiLevelType w:val="hybridMultilevel"/>
    <w:tmpl w:val="2112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CD"/>
    <w:rsid w:val="00014C36"/>
    <w:rsid w:val="000812CD"/>
    <w:rsid w:val="001B21A2"/>
    <w:rsid w:val="002C408F"/>
    <w:rsid w:val="003901C0"/>
    <w:rsid w:val="003E6AC9"/>
    <w:rsid w:val="00495899"/>
    <w:rsid w:val="006E2BC2"/>
    <w:rsid w:val="00783B0E"/>
    <w:rsid w:val="008A6DBF"/>
    <w:rsid w:val="009323C7"/>
    <w:rsid w:val="00984A6A"/>
    <w:rsid w:val="009A3A8B"/>
    <w:rsid w:val="009A6362"/>
    <w:rsid w:val="009B3165"/>
    <w:rsid w:val="00AA3678"/>
    <w:rsid w:val="00CA6878"/>
    <w:rsid w:val="00CD2836"/>
    <w:rsid w:val="00D0340F"/>
    <w:rsid w:val="00D16CA1"/>
    <w:rsid w:val="00EA1F1D"/>
    <w:rsid w:val="00FB37BA"/>
    <w:rsid w:val="00FB7D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DA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1A2"/>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4003-HMD-01\Clare.Wallace$\My%20Documents\2017%20-2018\Craig_Michelle\SEN%20Need%20at%20Brymo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[SEN Need at Brymore.xlsx]Sheet2!PivotTable1</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sz="1400"/>
              <a:t>Brymore Academy 2017-2018</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Sheet2!$B$3:$B$4</c:f>
              <c:strCache>
                <c:ptCount val="1"/>
                <c:pt idx="0">
                  <c:v>Education, Health and Care Plan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Sheet2!$A$5:$A$10</c:f>
              <c:strCache>
                <c:ptCount val="5"/>
                <c:pt idx="0">
                  <c:v>Year 10</c:v>
                </c:pt>
                <c:pt idx="1">
                  <c:v>Year 11</c:v>
                </c:pt>
                <c:pt idx="2">
                  <c:v>Year 7</c:v>
                </c:pt>
                <c:pt idx="3">
                  <c:v>Year 8</c:v>
                </c:pt>
                <c:pt idx="4">
                  <c:v>Year 9</c:v>
                </c:pt>
              </c:strCache>
            </c:strRef>
          </c:cat>
          <c:val>
            <c:numRef>
              <c:f>Sheet2!$B$5:$B$10</c:f>
              <c:numCache>
                <c:formatCode>General</c:formatCode>
                <c:ptCount val="5"/>
                <c:pt idx="4">
                  <c:v>1</c:v>
                </c:pt>
              </c:numCache>
            </c:numRef>
          </c:val>
          <c:extLst xmlns:c16r2="http://schemas.microsoft.com/office/drawing/2015/06/chart">
            <c:ext xmlns:c16="http://schemas.microsoft.com/office/drawing/2014/chart" uri="{C3380CC4-5D6E-409C-BE32-E72D297353CC}">
              <c16:uniqueId val="{00000000-093C-4914-B3CA-7BA85E54896E}"/>
            </c:ext>
          </c:extLst>
        </c:ser>
        <c:ser>
          <c:idx val="1"/>
          <c:order val="1"/>
          <c:tx>
            <c:strRef>
              <c:f>Sheet2!$C$3:$C$4</c:f>
              <c:strCache>
                <c:ptCount val="1"/>
                <c:pt idx="0">
                  <c:v>School/Early Years Action+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Sheet2!$A$5:$A$10</c:f>
              <c:strCache>
                <c:ptCount val="5"/>
                <c:pt idx="0">
                  <c:v>Year 10</c:v>
                </c:pt>
                <c:pt idx="1">
                  <c:v>Year 11</c:v>
                </c:pt>
                <c:pt idx="2">
                  <c:v>Year 7</c:v>
                </c:pt>
                <c:pt idx="3">
                  <c:v>Year 8</c:v>
                </c:pt>
                <c:pt idx="4">
                  <c:v>Year 9</c:v>
                </c:pt>
              </c:strCache>
            </c:strRef>
          </c:cat>
          <c:val>
            <c:numRef>
              <c:f>Sheet2!$C$5:$C$10</c:f>
              <c:numCache>
                <c:formatCode>General</c:formatCode>
                <c:ptCount val="5"/>
                <c:pt idx="2">
                  <c:v>1</c:v>
                </c:pt>
              </c:numCache>
            </c:numRef>
          </c:val>
          <c:extLst xmlns:c16r2="http://schemas.microsoft.com/office/drawing/2015/06/chart">
            <c:ext xmlns:c16="http://schemas.microsoft.com/office/drawing/2014/chart" uri="{C3380CC4-5D6E-409C-BE32-E72D297353CC}">
              <c16:uniqueId val="{00000001-093C-4914-B3CA-7BA85E54896E}"/>
            </c:ext>
          </c:extLst>
        </c:ser>
        <c:ser>
          <c:idx val="2"/>
          <c:order val="2"/>
          <c:tx>
            <c:strRef>
              <c:f>Sheet2!$D$3:$D$4</c:f>
              <c:strCache>
                <c:ptCount val="1"/>
                <c:pt idx="0">
                  <c:v>SEN Support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Sheet2!$A$5:$A$10</c:f>
              <c:strCache>
                <c:ptCount val="5"/>
                <c:pt idx="0">
                  <c:v>Year 10</c:v>
                </c:pt>
                <c:pt idx="1">
                  <c:v>Year 11</c:v>
                </c:pt>
                <c:pt idx="2">
                  <c:v>Year 7</c:v>
                </c:pt>
                <c:pt idx="3">
                  <c:v>Year 8</c:v>
                </c:pt>
                <c:pt idx="4">
                  <c:v>Year 9</c:v>
                </c:pt>
              </c:strCache>
            </c:strRef>
          </c:cat>
          <c:val>
            <c:numRef>
              <c:f>Sheet2!$D$5:$D$10</c:f>
              <c:numCache>
                <c:formatCode>General</c:formatCode>
                <c:ptCount val="5"/>
                <c:pt idx="0">
                  <c:v>16</c:v>
                </c:pt>
                <c:pt idx="1">
                  <c:v>17</c:v>
                </c:pt>
                <c:pt idx="2">
                  <c:v>16</c:v>
                </c:pt>
                <c:pt idx="3">
                  <c:v>29</c:v>
                </c:pt>
                <c:pt idx="4">
                  <c:v>25</c:v>
                </c:pt>
              </c:numCache>
            </c:numRef>
          </c:val>
          <c:extLst xmlns:c16r2="http://schemas.microsoft.com/office/drawing/2015/06/chart">
            <c:ext xmlns:c16="http://schemas.microsoft.com/office/drawing/2014/chart" uri="{C3380CC4-5D6E-409C-BE32-E72D297353CC}">
              <c16:uniqueId val="{00000002-093C-4914-B3CA-7BA85E54896E}"/>
            </c:ext>
          </c:extLst>
        </c:ser>
        <c:ser>
          <c:idx val="3"/>
          <c:order val="3"/>
          <c:tx>
            <c:strRef>
              <c:f>Sheet2!$E$3:$E$4</c:f>
              <c:strCache>
                <c:ptCount val="1"/>
                <c:pt idx="0">
                  <c:v>Statement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Sheet2!$A$5:$A$10</c:f>
              <c:strCache>
                <c:ptCount val="5"/>
                <c:pt idx="0">
                  <c:v>Year 10</c:v>
                </c:pt>
                <c:pt idx="1">
                  <c:v>Year 11</c:v>
                </c:pt>
                <c:pt idx="2">
                  <c:v>Year 7</c:v>
                </c:pt>
                <c:pt idx="3">
                  <c:v>Year 8</c:v>
                </c:pt>
                <c:pt idx="4">
                  <c:v>Year 9</c:v>
                </c:pt>
              </c:strCache>
            </c:strRef>
          </c:cat>
          <c:val>
            <c:numRef>
              <c:f>Sheet2!$E$5:$E$10</c:f>
              <c:numCache>
                <c:formatCode>General</c:formatCode>
                <c:ptCount val="5"/>
                <c:pt idx="0">
                  <c:v>2</c:v>
                </c:pt>
                <c:pt idx="1">
                  <c:v>2</c:v>
                </c:pt>
                <c:pt idx="4">
                  <c:v>1</c:v>
                </c:pt>
              </c:numCache>
            </c:numRef>
          </c:val>
          <c:extLst xmlns:c16r2="http://schemas.microsoft.com/office/drawing/2015/06/chart">
            <c:ext xmlns:c16="http://schemas.microsoft.com/office/drawing/2014/chart" uri="{C3380CC4-5D6E-409C-BE32-E72D297353CC}">
              <c16:uniqueId val="{00000003-093C-4914-B3CA-7BA85E54896E}"/>
            </c:ext>
          </c:extLst>
        </c:ser>
        <c:dLbls>
          <c:dLblPos val="outEnd"/>
          <c:showLegendKey val="0"/>
          <c:showVal val="1"/>
          <c:showCatName val="0"/>
          <c:showSerName val="0"/>
          <c:showPercent val="0"/>
          <c:showBubbleSize val="0"/>
        </c:dLbls>
        <c:gapWidth val="100"/>
        <c:overlap val="-24"/>
        <c:axId val="389094488"/>
        <c:axId val="389096448"/>
      </c:barChart>
      <c:catAx>
        <c:axId val="3890944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9096448"/>
        <c:crosses val="autoZero"/>
        <c:auto val="1"/>
        <c:lblAlgn val="ctr"/>
        <c:lblOffset val="100"/>
        <c:noMultiLvlLbl val="0"/>
      </c:catAx>
      <c:valAx>
        <c:axId val="38909644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90944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Warren</cp:lastModifiedBy>
  <cp:revision>2</cp:revision>
  <dcterms:created xsi:type="dcterms:W3CDTF">2017-11-21T09:59:00Z</dcterms:created>
  <dcterms:modified xsi:type="dcterms:W3CDTF">2017-11-21T09:59:00Z</dcterms:modified>
</cp:coreProperties>
</file>