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499F5A46" w:rsidR="00293633" w:rsidRPr="00293633" w:rsidRDefault="00977FCE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Alternative Room Arrangements Policy (Exams)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1337367A" w14:textId="28FB7A60" w:rsidR="00144C86" w:rsidRPr="0084543D" w:rsidRDefault="00144C86" w:rsidP="00B649CD">
      <w:pPr>
        <w:rPr>
          <w:rFonts w:ascii="Calibri" w:hAnsi="Calibri" w:cs="Calibri"/>
          <w:b/>
          <w:bCs/>
          <w:color w:val="000000"/>
        </w:rPr>
      </w:pPr>
    </w:p>
    <w:p w14:paraId="5C97C4BB" w14:textId="77777777" w:rsidR="00723A7F" w:rsidRDefault="00723A7F" w:rsidP="00B649CD">
      <w:pPr>
        <w:ind w:left="-993" w:firstLine="993"/>
        <w:rPr>
          <w:rFonts w:ascii="Calibri" w:hAnsi="Calibri" w:cs="Calibri"/>
          <w:b/>
          <w:bCs/>
        </w:rPr>
      </w:pPr>
    </w:p>
    <w:p w14:paraId="254CF6CE" w14:textId="77777777" w:rsidR="00723A7F" w:rsidRDefault="00723A7F" w:rsidP="00B649CD">
      <w:pPr>
        <w:ind w:left="-993" w:firstLine="993"/>
        <w:rPr>
          <w:rFonts w:ascii="Calibri" w:hAnsi="Calibri" w:cs="Calibri"/>
          <w:b/>
          <w:bCs/>
        </w:rPr>
      </w:pPr>
    </w:p>
    <w:p w14:paraId="40E2B4D3" w14:textId="7A68E603" w:rsidR="00B649CD" w:rsidRPr="0084543D" w:rsidRDefault="00B649CD" w:rsidP="00B649CD">
      <w:pPr>
        <w:ind w:left="-993" w:firstLine="993"/>
        <w:rPr>
          <w:rFonts w:ascii="Calibri" w:hAnsi="Calibri" w:cs="Calibri"/>
          <w:b/>
          <w:bCs/>
        </w:rPr>
      </w:pPr>
      <w:r w:rsidRPr="0084543D">
        <w:rPr>
          <w:rFonts w:ascii="Calibri" w:hAnsi="Calibri" w:cs="Calibri"/>
          <w:b/>
          <w:bCs/>
        </w:rPr>
        <w:lastRenderedPageBreak/>
        <w:t>Introduction</w:t>
      </w:r>
    </w:p>
    <w:p w14:paraId="5F164F2A" w14:textId="1B42C9A1" w:rsidR="00B649CD" w:rsidRPr="0084543D" w:rsidRDefault="00B649CD" w:rsidP="00EB494D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Alternative rooming arrangements (for example, a room for a smaller group of candidates with similar needs) is an available access arrangement as defined in the JCQ regulations.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This is an arrangement where a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candidate with an established difficulty may be eligible to take their examinations in a smaller environment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away from the main examination room.</w:t>
      </w:r>
    </w:p>
    <w:p w14:paraId="1FAA4003" w14:textId="77777777" w:rsidR="00EB494D" w:rsidRPr="0084543D" w:rsidRDefault="00EB494D" w:rsidP="00EB494D">
      <w:pPr>
        <w:rPr>
          <w:rFonts w:ascii="Calibri" w:hAnsi="Calibri" w:cs="Calibri"/>
        </w:rPr>
      </w:pPr>
    </w:p>
    <w:p w14:paraId="75E7F82A" w14:textId="77777777" w:rsidR="00B649CD" w:rsidRPr="0084543D" w:rsidRDefault="00B649CD" w:rsidP="00B649CD">
      <w:pPr>
        <w:ind w:left="-993" w:firstLine="993"/>
        <w:rPr>
          <w:rFonts w:ascii="Calibri" w:hAnsi="Calibri" w:cs="Calibri"/>
          <w:b/>
          <w:bCs/>
        </w:rPr>
      </w:pPr>
      <w:r w:rsidRPr="0084543D">
        <w:rPr>
          <w:rFonts w:ascii="Calibri" w:hAnsi="Calibri" w:cs="Calibri"/>
          <w:b/>
          <w:bCs/>
        </w:rPr>
        <w:t>Purpose of the policy</w:t>
      </w:r>
    </w:p>
    <w:p w14:paraId="28C7B6DC" w14:textId="33C6051D" w:rsidR="00B649CD" w:rsidRPr="0084543D" w:rsidRDefault="00B649CD" w:rsidP="00EB494D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The purpose of this policy is to confirm the criteria when these arrangements may be considered and granted</w:t>
      </w:r>
      <w:r w:rsidR="00EB494D" w:rsidRPr="0084543D">
        <w:rPr>
          <w:rFonts w:ascii="Calibri" w:hAnsi="Calibri" w:cs="Calibri"/>
        </w:rPr>
        <w:t xml:space="preserve"> f</w:t>
      </w:r>
      <w:r w:rsidRPr="0084543D">
        <w:rPr>
          <w:rFonts w:ascii="Calibri" w:hAnsi="Calibri" w:cs="Calibri"/>
        </w:rPr>
        <w:t>or a candidate at Brymore Academy in compliance with the regulations.</w:t>
      </w:r>
    </w:p>
    <w:p w14:paraId="695652D3" w14:textId="77777777" w:rsidR="00EB494D" w:rsidRPr="0084543D" w:rsidRDefault="00EB494D" w:rsidP="00EB494D">
      <w:pPr>
        <w:rPr>
          <w:rFonts w:ascii="Calibri" w:hAnsi="Calibri" w:cs="Calibri"/>
        </w:rPr>
      </w:pPr>
    </w:p>
    <w:p w14:paraId="10BED29E" w14:textId="77777777" w:rsidR="00B649CD" w:rsidRPr="0084543D" w:rsidRDefault="00B649CD" w:rsidP="00B649CD">
      <w:pPr>
        <w:ind w:left="-993" w:firstLine="993"/>
        <w:rPr>
          <w:rFonts w:ascii="Calibri" w:hAnsi="Calibri" w:cs="Calibri"/>
          <w:b/>
          <w:bCs/>
        </w:rPr>
      </w:pPr>
      <w:r w:rsidRPr="0084543D">
        <w:rPr>
          <w:rFonts w:ascii="Calibri" w:hAnsi="Calibri" w:cs="Calibri"/>
          <w:b/>
          <w:bCs/>
        </w:rPr>
        <w:t>1. Decisions on the awarding of the arrangement</w:t>
      </w:r>
    </w:p>
    <w:p w14:paraId="03A2AFD3" w14:textId="77777777" w:rsidR="00B649CD" w:rsidRPr="0084543D" w:rsidRDefault="00B649CD" w:rsidP="00B649CD">
      <w:pPr>
        <w:ind w:left="-993" w:firstLine="993"/>
        <w:rPr>
          <w:rFonts w:ascii="Calibri" w:hAnsi="Calibri" w:cs="Calibri"/>
        </w:rPr>
      </w:pPr>
      <w:r w:rsidRPr="0084543D">
        <w:rPr>
          <w:rFonts w:ascii="Calibri" w:hAnsi="Calibri" w:cs="Calibri"/>
        </w:rPr>
        <w:t>At Brymore Academy, decisions on the awarding of the arrangement are made by:</w:t>
      </w:r>
    </w:p>
    <w:p w14:paraId="133FDC84" w14:textId="77777777" w:rsidR="00B649CD" w:rsidRPr="0084543D" w:rsidRDefault="00B649CD" w:rsidP="00B649CD">
      <w:pPr>
        <w:ind w:left="-993" w:firstLine="993"/>
        <w:rPr>
          <w:rFonts w:ascii="Calibri" w:hAnsi="Calibri" w:cs="Calibri"/>
        </w:rPr>
      </w:pPr>
      <w:r w:rsidRPr="0084543D">
        <w:rPr>
          <w:rFonts w:ascii="Calibri" w:hAnsi="Calibri" w:cs="Calibri"/>
        </w:rPr>
        <w:t>Lisa Gardner - Exams Officer and Access Arrangements Co-ordinator</w:t>
      </w:r>
    </w:p>
    <w:p w14:paraId="13FB6389" w14:textId="77777777" w:rsidR="00B649CD" w:rsidRPr="0084543D" w:rsidRDefault="00B649CD" w:rsidP="00B649CD">
      <w:pPr>
        <w:ind w:left="-993" w:firstLine="993"/>
        <w:rPr>
          <w:rFonts w:ascii="Calibri" w:hAnsi="Calibri" w:cs="Calibri"/>
        </w:rPr>
      </w:pPr>
      <w:r w:rsidRPr="0084543D">
        <w:rPr>
          <w:rFonts w:ascii="Calibri" w:hAnsi="Calibri" w:cs="Calibri"/>
        </w:rPr>
        <w:t>Kimberley Hartley-SENCo</w:t>
      </w:r>
    </w:p>
    <w:p w14:paraId="0F815C1B" w14:textId="77777777" w:rsidR="00EB494D" w:rsidRPr="0084543D" w:rsidRDefault="00EB494D" w:rsidP="00B649CD">
      <w:pPr>
        <w:ind w:left="-993" w:firstLine="993"/>
        <w:rPr>
          <w:rFonts w:ascii="Calibri" w:hAnsi="Calibri" w:cs="Calibri"/>
        </w:rPr>
      </w:pPr>
    </w:p>
    <w:p w14:paraId="2E263F5C" w14:textId="4EBEF9C8" w:rsidR="00B649CD" w:rsidRPr="0084543D" w:rsidRDefault="00B649CD" w:rsidP="00B649CD">
      <w:pPr>
        <w:ind w:left="-993" w:firstLine="993"/>
        <w:rPr>
          <w:rFonts w:ascii="Calibri" w:hAnsi="Calibri" w:cs="Calibri"/>
        </w:rPr>
      </w:pPr>
      <w:r w:rsidRPr="0084543D">
        <w:rPr>
          <w:rFonts w:ascii="Calibri" w:hAnsi="Calibri" w:cs="Calibri"/>
        </w:rPr>
        <w:t>Decisions are based on:</w:t>
      </w:r>
    </w:p>
    <w:p w14:paraId="2162F3F1" w14:textId="77777777" w:rsidR="00EB494D" w:rsidRPr="0084543D" w:rsidRDefault="00B649CD" w:rsidP="00EB494D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Whether the candidate has a substantial and long-term impairment which has an adverse effect (AARA</w:t>
      </w:r>
      <w:r w:rsidR="00EB494D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5.16)</w:t>
      </w:r>
    </w:p>
    <w:p w14:paraId="51BBD748" w14:textId="71F212AB" w:rsidR="00EB494D" w:rsidRPr="0084543D" w:rsidRDefault="00B649CD" w:rsidP="00B649CD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The candidate’s normal way of working within the centre (AARA 5.16</w:t>
      </w:r>
      <w:r w:rsidR="0084543D" w:rsidRPr="0084543D">
        <w:rPr>
          <w:rFonts w:ascii="Calibri" w:hAnsi="Calibri" w:cs="Calibri"/>
          <w:sz w:val="24"/>
          <w:szCs w:val="24"/>
        </w:rPr>
        <w:t>)</w:t>
      </w:r>
    </w:p>
    <w:p w14:paraId="284B7B6F" w14:textId="5D2459B0" w:rsidR="00B649CD" w:rsidRPr="0084543D" w:rsidRDefault="00B649CD" w:rsidP="00EB494D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Ensuring the proposed arrangement does not unfairly disadvantage or advantage the candidate (AARA</w:t>
      </w:r>
      <w:r w:rsidR="00EB494D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4.2.1)</w:t>
      </w:r>
    </w:p>
    <w:p w14:paraId="0406BA06" w14:textId="019B4FF3" w:rsidR="00B649CD" w:rsidRPr="0084543D" w:rsidRDefault="00B649CD" w:rsidP="00B649CD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(In accordance with the regulations: A centre must make decisions on appropriate access arrangements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for their candidates. Although professionals from other organisations may give advice, they cannot make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the decision for the centre. They will not have a working knowledge of an individual candidate’s needs and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how their difficulties impact in the classroom and/or in timed assessments. It is the responsibility of the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SENCo (or equivalent role within the centre) to make appropriate and informed decisions based on the JCQ</w:t>
      </w:r>
    </w:p>
    <w:p w14:paraId="3ECF5491" w14:textId="77777777" w:rsidR="00EB494D" w:rsidRPr="0084543D" w:rsidRDefault="00B649CD" w:rsidP="00EB494D">
      <w:pPr>
        <w:ind w:left="-993" w:firstLine="993"/>
        <w:rPr>
          <w:rFonts w:ascii="Calibri" w:hAnsi="Calibri" w:cs="Calibri"/>
        </w:rPr>
      </w:pPr>
      <w:r w:rsidRPr="0084543D">
        <w:rPr>
          <w:rFonts w:ascii="Calibri" w:hAnsi="Calibri" w:cs="Calibri"/>
        </w:rPr>
        <w:t>regulations.)</w:t>
      </w:r>
    </w:p>
    <w:p w14:paraId="6F49800E" w14:textId="2B125E99" w:rsidR="00B649CD" w:rsidRPr="0084543D" w:rsidRDefault="00B649CD" w:rsidP="00EB494D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Nervousness, low level anxiety or being worried about examinations is not sufficient grounds for separate</w:t>
      </w:r>
      <w:r w:rsidR="00EB494D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invigilation within the centre</w:t>
      </w:r>
      <w:r w:rsidR="00EB494D" w:rsidRPr="0084543D">
        <w:rPr>
          <w:rFonts w:ascii="Calibri" w:hAnsi="Calibri" w:cs="Calibri"/>
          <w:sz w:val="24"/>
          <w:szCs w:val="24"/>
        </w:rPr>
        <w:t>.</w:t>
      </w:r>
    </w:p>
    <w:p w14:paraId="4AA963F4" w14:textId="131DE38B" w:rsidR="00B649CD" w:rsidRPr="0084543D" w:rsidRDefault="00B649CD" w:rsidP="00EB494D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The use of an alternative room with one-to-one invigilation must only apply where the candidate has a</w:t>
      </w:r>
      <w:r w:rsidR="00A94873" w:rsidRPr="0084543D">
        <w:rPr>
          <w:rFonts w:ascii="Calibri" w:hAnsi="Calibri" w:cs="Calibri"/>
        </w:rPr>
        <w:t xml:space="preserve"> s</w:t>
      </w:r>
      <w:r w:rsidRPr="0084543D">
        <w:rPr>
          <w:rFonts w:ascii="Calibri" w:hAnsi="Calibri" w:cs="Calibri"/>
        </w:rPr>
        <w:t>erious medical condition, such as frequent seizures, Tourette’s or significant behavioural issues which</w:t>
      </w:r>
      <w:r w:rsidR="00EB494D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would disturb other candidates in the examination room (AARA 5.16)</w:t>
      </w:r>
    </w:p>
    <w:p w14:paraId="2D12154D" w14:textId="77777777" w:rsidR="00EB494D" w:rsidRPr="0084543D" w:rsidRDefault="00EB494D" w:rsidP="00A94873">
      <w:pPr>
        <w:ind w:left="-993" w:firstLine="993"/>
        <w:rPr>
          <w:rFonts w:ascii="Calibri" w:hAnsi="Calibri" w:cs="Calibri"/>
          <w:b/>
          <w:bCs/>
        </w:rPr>
      </w:pPr>
    </w:p>
    <w:p w14:paraId="3444EA14" w14:textId="7557317A" w:rsidR="00B649CD" w:rsidRPr="0084543D" w:rsidRDefault="00B649CD" w:rsidP="00A94873">
      <w:pPr>
        <w:ind w:left="-993" w:firstLine="993"/>
        <w:rPr>
          <w:rFonts w:ascii="Calibri" w:hAnsi="Calibri" w:cs="Calibri"/>
          <w:b/>
          <w:bCs/>
        </w:rPr>
      </w:pPr>
      <w:r w:rsidRPr="0084543D">
        <w:rPr>
          <w:rFonts w:ascii="Calibri" w:hAnsi="Calibri" w:cs="Calibri"/>
          <w:b/>
          <w:bCs/>
        </w:rPr>
        <w:t>2. Criteria for the awarding of the arrangement</w:t>
      </w:r>
    </w:p>
    <w:p w14:paraId="493FDF7E" w14:textId="17D6ED5F" w:rsidR="00B649CD" w:rsidRPr="0084543D" w:rsidRDefault="00B649CD" w:rsidP="00EB494D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Alternative rooming arrangements will be considered where the arrangement would prevent a candidate</w:t>
      </w:r>
      <w:r w:rsidR="002B28B8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>from being placed at a substantial disadvantage and where the following conditions are met:</w:t>
      </w:r>
    </w:p>
    <w:p w14:paraId="606FC16E" w14:textId="77777777" w:rsidR="002B28B8" w:rsidRPr="0084543D" w:rsidRDefault="00B649CD" w:rsidP="00EB494D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The candidate has an established difficulty as defined in section 5.16 of the JCQ's Access Arrangements</w:t>
      </w:r>
      <w:r w:rsidR="002B28B8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and Reasonable Adjustments document (ICE 14.18)</w:t>
      </w:r>
    </w:p>
    <w:p w14:paraId="590CB29D" w14:textId="77777777" w:rsidR="002B28B8" w:rsidRPr="0084543D" w:rsidRDefault="00B649CD" w:rsidP="00EB494D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The candidate’s disability is established within the centre and known to relevant staff or a senior member</w:t>
      </w:r>
      <w:r w:rsidR="002B28B8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of staff with pastoral responsibilities (AARA 5.16)</w:t>
      </w:r>
    </w:p>
    <w:p w14:paraId="197EA948" w14:textId="77777777" w:rsidR="002B28B8" w:rsidRPr="0084543D" w:rsidRDefault="00B649CD" w:rsidP="00EB494D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lastRenderedPageBreak/>
        <w:t>Alternative rooming arrangements reflects the candidate’s normal and current way of working in internal</w:t>
      </w:r>
      <w:r w:rsidR="002B28B8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tests and mock examinations (AARA 5.16)</w:t>
      </w:r>
    </w:p>
    <w:p w14:paraId="2BF01231" w14:textId="2D12D5A7" w:rsidR="00B649CD" w:rsidRPr="0084543D" w:rsidRDefault="00B649CD" w:rsidP="00EB494D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Where a candidate sits their examinations in a smaller environment away from the main examination</w:t>
      </w:r>
      <w:r w:rsidR="002B28B8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room, the regulations and guidance within the JCQ document Instructions for conducting examinations</w:t>
      </w:r>
      <w:r w:rsidR="002B28B8" w:rsidRPr="0084543D">
        <w:rPr>
          <w:rFonts w:ascii="Calibri" w:hAnsi="Calibri" w:cs="Calibri"/>
          <w:sz w:val="24"/>
          <w:szCs w:val="24"/>
        </w:rPr>
        <w:t xml:space="preserve"> </w:t>
      </w:r>
      <w:r w:rsidRPr="0084543D">
        <w:rPr>
          <w:rFonts w:ascii="Calibri" w:hAnsi="Calibri" w:cs="Calibri"/>
          <w:sz w:val="24"/>
          <w:szCs w:val="24"/>
        </w:rPr>
        <w:t>will be adhered to, particularly in relation to accommodation and invigilation arrangements (ICE 14.18)</w:t>
      </w:r>
    </w:p>
    <w:p w14:paraId="2F5B3276" w14:textId="77777777" w:rsidR="002B28B8" w:rsidRPr="0084543D" w:rsidRDefault="002B28B8" w:rsidP="002B28B8">
      <w:pPr>
        <w:ind w:left="-993" w:firstLine="993"/>
        <w:rPr>
          <w:rFonts w:ascii="Calibri" w:hAnsi="Calibri" w:cs="Calibri"/>
        </w:rPr>
      </w:pPr>
    </w:p>
    <w:p w14:paraId="49B50C50" w14:textId="77777777" w:rsidR="002B28B8" w:rsidRPr="0084543D" w:rsidRDefault="002B28B8" w:rsidP="002B28B8">
      <w:pPr>
        <w:ind w:left="-993" w:firstLine="993"/>
        <w:rPr>
          <w:rFonts w:ascii="Calibri" w:hAnsi="Calibri" w:cs="Calibri"/>
        </w:rPr>
      </w:pPr>
    </w:p>
    <w:p w14:paraId="5C6C6491" w14:textId="58AB9662" w:rsidR="00B649CD" w:rsidRPr="0084543D" w:rsidRDefault="00B649CD" w:rsidP="002B28B8">
      <w:pPr>
        <w:ind w:left="-993" w:firstLine="993"/>
        <w:rPr>
          <w:rFonts w:ascii="Calibri" w:hAnsi="Calibri" w:cs="Calibri"/>
          <w:b/>
          <w:bCs/>
        </w:rPr>
      </w:pPr>
      <w:r w:rsidRPr="0084543D">
        <w:rPr>
          <w:rFonts w:ascii="Calibri" w:hAnsi="Calibri" w:cs="Calibri"/>
          <w:b/>
          <w:bCs/>
        </w:rPr>
        <w:t>3. Other rooming arrangements</w:t>
      </w:r>
    </w:p>
    <w:p w14:paraId="2BEA4024" w14:textId="77777777" w:rsidR="000522A5" w:rsidRDefault="00B649CD" w:rsidP="00E6400B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At Brymore Academy arrangements for seating candidates in rooms separate to the main cohort may be put</w:t>
      </w:r>
      <w:r w:rsidR="00E6400B" w:rsidRPr="0084543D">
        <w:rPr>
          <w:rFonts w:ascii="Calibri" w:hAnsi="Calibri" w:cs="Calibri"/>
        </w:rPr>
        <w:t xml:space="preserve"> </w:t>
      </w:r>
      <w:r w:rsidRPr="0084543D">
        <w:rPr>
          <w:rFonts w:ascii="Calibri" w:hAnsi="Calibri" w:cs="Calibri"/>
        </w:rPr>
        <w:t xml:space="preserve">in place in other circumstances. </w:t>
      </w:r>
    </w:p>
    <w:p w14:paraId="4E9BD84C" w14:textId="77777777" w:rsidR="000522A5" w:rsidRDefault="000522A5" w:rsidP="00E6400B">
      <w:pPr>
        <w:rPr>
          <w:rFonts w:ascii="Calibri" w:hAnsi="Calibri" w:cs="Calibri"/>
        </w:rPr>
      </w:pPr>
    </w:p>
    <w:p w14:paraId="4E17E4C9" w14:textId="54AB6704" w:rsidR="00B649CD" w:rsidRPr="0084543D" w:rsidRDefault="00B649CD" w:rsidP="00E6400B">
      <w:pPr>
        <w:rPr>
          <w:rFonts w:ascii="Calibri" w:hAnsi="Calibri" w:cs="Calibri"/>
        </w:rPr>
      </w:pPr>
      <w:r w:rsidRPr="0084543D">
        <w:rPr>
          <w:rFonts w:ascii="Calibri" w:hAnsi="Calibri" w:cs="Calibri"/>
        </w:rPr>
        <w:t>As and when applicable, these circumstances include:</w:t>
      </w:r>
    </w:p>
    <w:p w14:paraId="39471CC5" w14:textId="77777777" w:rsidR="00E6400B" w:rsidRPr="0084543D" w:rsidRDefault="00B649CD" w:rsidP="00E6400B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A reading room for those candidates entitled to a reader.</w:t>
      </w:r>
    </w:p>
    <w:p w14:paraId="5C11F1FD" w14:textId="77777777" w:rsidR="00E6400B" w:rsidRPr="0084543D" w:rsidRDefault="00B649CD" w:rsidP="00E6400B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Scribe rooms for those candidates entitled to a scribe.</w:t>
      </w:r>
    </w:p>
    <w:p w14:paraId="25362252" w14:textId="51FC6DED" w:rsidR="003A6DF9" w:rsidRPr="0084543D" w:rsidRDefault="00B649CD" w:rsidP="00E6400B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4543D">
        <w:rPr>
          <w:rFonts w:ascii="Calibri" w:hAnsi="Calibri" w:cs="Calibri"/>
          <w:sz w:val="24"/>
          <w:szCs w:val="24"/>
        </w:rPr>
        <w:t>Candidates using a word processor will be seated at the back of the main hall.</w:t>
      </w:r>
    </w:p>
    <w:sectPr w:rsidR="003A6DF9" w:rsidRPr="00845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6917"/>
    <w:multiLevelType w:val="hybridMultilevel"/>
    <w:tmpl w:val="DA602486"/>
    <w:lvl w:ilvl="0" w:tplc="567A11C2">
      <w:start w:val="5"/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56FB5"/>
    <w:multiLevelType w:val="hybridMultilevel"/>
    <w:tmpl w:val="9B187418"/>
    <w:lvl w:ilvl="0" w:tplc="567A11C2">
      <w:start w:val="5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D6468BB"/>
    <w:multiLevelType w:val="hybridMultilevel"/>
    <w:tmpl w:val="214843FE"/>
    <w:lvl w:ilvl="0" w:tplc="567A11C2">
      <w:start w:val="5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1126FA9"/>
    <w:multiLevelType w:val="hybridMultilevel"/>
    <w:tmpl w:val="F35A69D8"/>
    <w:lvl w:ilvl="0" w:tplc="567A11C2">
      <w:start w:val="5"/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85EAE"/>
    <w:multiLevelType w:val="hybridMultilevel"/>
    <w:tmpl w:val="16A2892C"/>
    <w:lvl w:ilvl="0" w:tplc="567A11C2">
      <w:start w:val="5"/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45541"/>
    <w:multiLevelType w:val="hybridMultilevel"/>
    <w:tmpl w:val="AAA897F8"/>
    <w:lvl w:ilvl="0" w:tplc="567A11C2">
      <w:start w:val="5"/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6" w15:restartNumberingAfterBreak="0">
    <w:nsid w:val="72BF648E"/>
    <w:multiLevelType w:val="hybridMultilevel"/>
    <w:tmpl w:val="90B875BC"/>
    <w:lvl w:ilvl="0" w:tplc="567A11C2">
      <w:start w:val="5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3BC3578"/>
    <w:multiLevelType w:val="hybridMultilevel"/>
    <w:tmpl w:val="E58A78EE"/>
    <w:lvl w:ilvl="0" w:tplc="567A11C2">
      <w:start w:val="5"/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4"/>
  </w:num>
  <w:num w:numId="2" w16cid:durableId="2082943034">
    <w:abstractNumId w:val="8"/>
  </w:num>
  <w:num w:numId="3" w16cid:durableId="1081871420">
    <w:abstractNumId w:val="1"/>
  </w:num>
  <w:num w:numId="4" w16cid:durableId="1947230793">
    <w:abstractNumId w:val="13"/>
  </w:num>
  <w:num w:numId="5" w16cid:durableId="1221790742">
    <w:abstractNumId w:val="7"/>
  </w:num>
  <w:num w:numId="6" w16cid:durableId="1626110871">
    <w:abstractNumId w:val="2"/>
  </w:num>
  <w:num w:numId="7" w16cid:durableId="1773625575">
    <w:abstractNumId w:val="6"/>
  </w:num>
  <w:num w:numId="8" w16cid:durableId="1680159767">
    <w:abstractNumId w:val="12"/>
  </w:num>
  <w:num w:numId="9" w16cid:durableId="1079407753">
    <w:abstractNumId w:val="0"/>
  </w:num>
  <w:num w:numId="10" w16cid:durableId="2000963139">
    <w:abstractNumId w:val="19"/>
  </w:num>
  <w:num w:numId="11" w16cid:durableId="1810200354">
    <w:abstractNumId w:val="18"/>
  </w:num>
  <w:num w:numId="12" w16cid:durableId="266158322">
    <w:abstractNumId w:val="3"/>
  </w:num>
  <w:num w:numId="13" w16cid:durableId="1813863350">
    <w:abstractNumId w:val="15"/>
  </w:num>
  <w:num w:numId="14" w16cid:durableId="325977429">
    <w:abstractNumId w:val="10"/>
  </w:num>
  <w:num w:numId="15" w16cid:durableId="146211545">
    <w:abstractNumId w:val="14"/>
  </w:num>
  <w:num w:numId="16" w16cid:durableId="1291398001">
    <w:abstractNumId w:val="11"/>
  </w:num>
  <w:num w:numId="17" w16cid:durableId="1074086992">
    <w:abstractNumId w:val="17"/>
  </w:num>
  <w:num w:numId="18" w16cid:durableId="1335034739">
    <w:abstractNumId w:val="16"/>
  </w:num>
  <w:num w:numId="19" w16cid:durableId="1562013797">
    <w:abstractNumId w:val="5"/>
  </w:num>
  <w:num w:numId="20" w16cid:durableId="1820608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0522A5"/>
    <w:rsid w:val="00102E18"/>
    <w:rsid w:val="00144C86"/>
    <w:rsid w:val="00144D46"/>
    <w:rsid w:val="00293633"/>
    <w:rsid w:val="002B28B8"/>
    <w:rsid w:val="0031420A"/>
    <w:rsid w:val="003A6DF9"/>
    <w:rsid w:val="003D7D14"/>
    <w:rsid w:val="00510ACC"/>
    <w:rsid w:val="00580C58"/>
    <w:rsid w:val="005D0026"/>
    <w:rsid w:val="00667C99"/>
    <w:rsid w:val="00673D1B"/>
    <w:rsid w:val="0067584B"/>
    <w:rsid w:val="00702B78"/>
    <w:rsid w:val="00723A7F"/>
    <w:rsid w:val="00737F77"/>
    <w:rsid w:val="00795C5A"/>
    <w:rsid w:val="007C7929"/>
    <w:rsid w:val="0084543D"/>
    <w:rsid w:val="00865552"/>
    <w:rsid w:val="008C2AB3"/>
    <w:rsid w:val="009256FA"/>
    <w:rsid w:val="00977FCE"/>
    <w:rsid w:val="00A23993"/>
    <w:rsid w:val="00A37E0E"/>
    <w:rsid w:val="00A8014B"/>
    <w:rsid w:val="00A94873"/>
    <w:rsid w:val="00AE4028"/>
    <w:rsid w:val="00AE4C9B"/>
    <w:rsid w:val="00B649CD"/>
    <w:rsid w:val="00BA070F"/>
    <w:rsid w:val="00BB3820"/>
    <w:rsid w:val="00BC0D2A"/>
    <w:rsid w:val="00BE3E66"/>
    <w:rsid w:val="00C81B5F"/>
    <w:rsid w:val="00CB020B"/>
    <w:rsid w:val="00CB7D89"/>
    <w:rsid w:val="00D037EB"/>
    <w:rsid w:val="00D62B0B"/>
    <w:rsid w:val="00D94740"/>
    <w:rsid w:val="00DE76F6"/>
    <w:rsid w:val="00DF441A"/>
    <w:rsid w:val="00E10645"/>
    <w:rsid w:val="00E6400B"/>
    <w:rsid w:val="00E765D1"/>
    <w:rsid w:val="00E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3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33</cp:revision>
  <dcterms:created xsi:type="dcterms:W3CDTF">2022-05-24T13:58:00Z</dcterms:created>
  <dcterms:modified xsi:type="dcterms:W3CDTF">2025-12-08T12:56:00Z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