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78381" w14:textId="2BB32B1D" w:rsidR="003A6DF9" w:rsidRDefault="00293633">
      <w:r w:rsidRPr="00131475">
        <w:rPr>
          <w:rFonts w:ascii="Verdana" w:hAnsi="Verdana"/>
          <w:b/>
          <w:bCs/>
          <w:noProof/>
          <w:sz w:val="26"/>
          <w:szCs w:val="26"/>
        </w:rPr>
        <w:drawing>
          <wp:anchor distT="0" distB="0" distL="114300" distR="114300" simplePos="0" relativeHeight="251659264" behindDoc="0" locked="0" layoutInCell="1" allowOverlap="1" wp14:anchorId="355012C7" wp14:editId="6C02D331">
            <wp:simplePos x="0" y="0"/>
            <wp:positionH relativeFrom="margin">
              <wp:align>center</wp:align>
            </wp:positionH>
            <wp:positionV relativeFrom="margin">
              <wp:posOffset>-219075</wp:posOffset>
            </wp:positionV>
            <wp:extent cx="6496050" cy="1114425"/>
            <wp:effectExtent l="0" t="0" r="0" b="9525"/>
            <wp:wrapSquare wrapText="bothSides"/>
            <wp:docPr id="2"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l="3801" t="17543" r="1775" b="51547"/>
                    <a:stretch>
                      <a:fillRect/>
                    </a:stretch>
                  </pic:blipFill>
                  <pic:spPr bwMode="auto">
                    <a:xfrm>
                      <a:off x="0" y="0"/>
                      <a:ext cx="649605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85A238" w14:textId="77777777" w:rsidR="00293633" w:rsidRDefault="00293633" w:rsidP="003A6DF9">
      <w:pPr>
        <w:ind w:left="-993"/>
        <w:jc w:val="center"/>
        <w:rPr>
          <w:rFonts w:ascii="Verdana" w:hAnsi="Verdana"/>
          <w:b/>
          <w:bCs/>
          <w:sz w:val="26"/>
          <w:szCs w:val="26"/>
        </w:rPr>
      </w:pPr>
    </w:p>
    <w:p w14:paraId="5A60366D" w14:textId="77777777" w:rsidR="00293633" w:rsidRDefault="00293633" w:rsidP="003A6DF9">
      <w:pPr>
        <w:ind w:left="-993"/>
        <w:jc w:val="center"/>
        <w:rPr>
          <w:rFonts w:ascii="Verdana" w:hAnsi="Verdana"/>
          <w:b/>
          <w:bCs/>
          <w:sz w:val="26"/>
          <w:szCs w:val="26"/>
        </w:rPr>
      </w:pPr>
    </w:p>
    <w:p w14:paraId="135059E3" w14:textId="77777777" w:rsidR="00293633" w:rsidRDefault="00293633" w:rsidP="003A6DF9">
      <w:pPr>
        <w:ind w:left="-993"/>
        <w:jc w:val="center"/>
        <w:rPr>
          <w:rFonts w:ascii="Verdana" w:hAnsi="Verdana"/>
          <w:b/>
          <w:bCs/>
          <w:sz w:val="26"/>
          <w:szCs w:val="26"/>
        </w:rPr>
      </w:pPr>
    </w:p>
    <w:p w14:paraId="4C1E76BB" w14:textId="77777777" w:rsidR="00293633" w:rsidRPr="00293633" w:rsidRDefault="00293633" w:rsidP="003A6DF9">
      <w:pPr>
        <w:ind w:left="-993"/>
        <w:jc w:val="center"/>
        <w:rPr>
          <w:rFonts w:ascii="Verdana" w:hAnsi="Verdana"/>
          <w:b/>
          <w:bCs/>
          <w:color w:val="000000" w:themeColor="text1"/>
          <w:sz w:val="26"/>
          <w:szCs w:val="26"/>
        </w:rPr>
      </w:pPr>
    </w:p>
    <w:p w14:paraId="47BDD2D4" w14:textId="121F5BBB" w:rsidR="00293633" w:rsidRPr="00293633" w:rsidRDefault="002202BC" w:rsidP="00293633">
      <w:pPr>
        <w:rPr>
          <w:rFonts w:asciiTheme="minorHAnsi" w:hAnsiTheme="minorHAnsi" w:cstheme="minorHAnsi"/>
          <w:b/>
          <w:color w:val="000000" w:themeColor="text1"/>
          <w:sz w:val="72"/>
          <w:szCs w:val="72"/>
        </w:rPr>
      </w:pPr>
      <w:r>
        <w:rPr>
          <w:rFonts w:asciiTheme="minorHAnsi" w:hAnsiTheme="minorHAnsi" w:cstheme="minorHAnsi"/>
          <w:b/>
          <w:color w:val="000000" w:themeColor="text1"/>
          <w:sz w:val="72"/>
          <w:szCs w:val="72"/>
        </w:rPr>
        <w:t>E</w:t>
      </w:r>
      <w:r w:rsidR="001B19E4">
        <w:rPr>
          <w:rFonts w:asciiTheme="minorHAnsi" w:hAnsiTheme="minorHAnsi" w:cstheme="minorHAnsi"/>
          <w:b/>
          <w:color w:val="000000" w:themeColor="text1"/>
          <w:sz w:val="72"/>
          <w:szCs w:val="72"/>
        </w:rPr>
        <w:t>mergency</w:t>
      </w:r>
      <w:r>
        <w:rPr>
          <w:rFonts w:asciiTheme="minorHAnsi" w:hAnsiTheme="minorHAnsi" w:cstheme="minorHAnsi"/>
          <w:b/>
          <w:color w:val="000000" w:themeColor="text1"/>
          <w:sz w:val="72"/>
          <w:szCs w:val="72"/>
        </w:rPr>
        <w:t xml:space="preserve"> E</w:t>
      </w:r>
      <w:r w:rsidR="001B19E4">
        <w:rPr>
          <w:rFonts w:asciiTheme="minorHAnsi" w:hAnsiTheme="minorHAnsi" w:cstheme="minorHAnsi"/>
          <w:b/>
          <w:color w:val="000000" w:themeColor="text1"/>
          <w:sz w:val="72"/>
          <w:szCs w:val="72"/>
        </w:rPr>
        <w:t xml:space="preserve">vacuation </w:t>
      </w:r>
      <w:r>
        <w:rPr>
          <w:rFonts w:asciiTheme="minorHAnsi" w:hAnsiTheme="minorHAnsi" w:cstheme="minorHAnsi"/>
          <w:b/>
          <w:color w:val="000000" w:themeColor="text1"/>
          <w:sz w:val="72"/>
          <w:szCs w:val="72"/>
        </w:rPr>
        <w:t>P</w:t>
      </w:r>
      <w:r w:rsidR="001B19E4">
        <w:rPr>
          <w:rFonts w:asciiTheme="minorHAnsi" w:hAnsiTheme="minorHAnsi" w:cstheme="minorHAnsi"/>
          <w:b/>
          <w:color w:val="000000" w:themeColor="text1"/>
          <w:sz w:val="72"/>
          <w:szCs w:val="72"/>
        </w:rPr>
        <w:t xml:space="preserve">olicy </w:t>
      </w:r>
      <w:r w:rsidR="00293633" w:rsidRPr="00293633">
        <w:rPr>
          <w:rFonts w:asciiTheme="minorHAnsi" w:hAnsiTheme="minorHAnsi" w:cstheme="minorHAnsi"/>
          <w:b/>
          <w:color w:val="000000" w:themeColor="text1"/>
          <w:sz w:val="72"/>
          <w:szCs w:val="72"/>
        </w:rPr>
        <w:t>(Exams)</w:t>
      </w:r>
    </w:p>
    <w:p w14:paraId="42200D25" w14:textId="62B4EFDF" w:rsidR="00293633" w:rsidRPr="00293633" w:rsidRDefault="00293633" w:rsidP="00293633">
      <w:pPr>
        <w:rPr>
          <w:rFonts w:asciiTheme="minorHAnsi" w:hAnsiTheme="minorHAnsi" w:cstheme="minorHAnsi"/>
          <w:color w:val="000000" w:themeColor="text1"/>
          <w:sz w:val="72"/>
          <w:szCs w:val="72"/>
        </w:rPr>
      </w:pPr>
      <w:r w:rsidRPr="00293633">
        <w:rPr>
          <w:rFonts w:asciiTheme="minorHAnsi" w:hAnsiTheme="minorHAnsi" w:cstheme="minorHAnsi"/>
          <w:color w:val="000000" w:themeColor="text1"/>
          <w:sz w:val="72"/>
          <w:szCs w:val="72"/>
        </w:rPr>
        <w:t>202</w:t>
      </w:r>
      <w:r w:rsidR="004516D5">
        <w:rPr>
          <w:rFonts w:asciiTheme="minorHAnsi" w:hAnsiTheme="minorHAnsi" w:cstheme="minorHAnsi"/>
          <w:color w:val="000000" w:themeColor="text1"/>
          <w:sz w:val="72"/>
          <w:szCs w:val="72"/>
        </w:rPr>
        <w:t>5</w:t>
      </w:r>
      <w:r w:rsidRPr="00293633">
        <w:rPr>
          <w:rFonts w:asciiTheme="minorHAnsi" w:hAnsiTheme="minorHAnsi" w:cstheme="minorHAnsi"/>
          <w:color w:val="000000" w:themeColor="text1"/>
          <w:sz w:val="72"/>
          <w:szCs w:val="72"/>
        </w:rPr>
        <w:t>/2</w:t>
      </w:r>
      <w:r w:rsidR="004516D5">
        <w:rPr>
          <w:rFonts w:asciiTheme="minorHAnsi" w:hAnsiTheme="minorHAnsi" w:cstheme="minorHAnsi"/>
          <w:color w:val="000000" w:themeColor="text1"/>
          <w:sz w:val="72"/>
          <w:szCs w:val="72"/>
        </w:rPr>
        <w:t>6</w:t>
      </w:r>
    </w:p>
    <w:p w14:paraId="4C71BE9C" w14:textId="77777777" w:rsidR="00293633" w:rsidRPr="00293633" w:rsidRDefault="00293633" w:rsidP="00293633">
      <w:pPr>
        <w:rPr>
          <w:rFonts w:asciiTheme="minorHAnsi" w:hAnsiTheme="minorHAnsi" w:cstheme="minorHAnsi"/>
          <w:color w:val="000000" w:themeColor="text1"/>
          <w:sz w:val="72"/>
          <w:szCs w:val="72"/>
        </w:rPr>
      </w:pPr>
    </w:p>
    <w:p w14:paraId="1D2C04E3" w14:textId="77777777" w:rsidR="00293633" w:rsidRPr="00293633" w:rsidRDefault="00293633" w:rsidP="00293633">
      <w:pPr>
        <w:rPr>
          <w:rFonts w:asciiTheme="minorHAnsi" w:hAnsiTheme="minorHAnsi" w:cstheme="minorHAnsi"/>
        </w:rPr>
      </w:pPr>
    </w:p>
    <w:p w14:paraId="50FE1E5F" w14:textId="77777777" w:rsidR="00293633" w:rsidRPr="00293633" w:rsidRDefault="00293633" w:rsidP="00293633">
      <w:pPr>
        <w:jc w:val="right"/>
        <w:rPr>
          <w:rFonts w:asciiTheme="minorHAnsi" w:hAnsiTheme="minorHAnsi" w:cstheme="minorHAnsi"/>
        </w:rPr>
      </w:pPr>
    </w:p>
    <w:p w14:paraId="10454A55" w14:textId="77777777" w:rsidR="00293633" w:rsidRPr="00293633" w:rsidRDefault="00293633" w:rsidP="00293633">
      <w:pPr>
        <w:jc w:val="right"/>
        <w:rPr>
          <w:rFonts w:asciiTheme="minorHAnsi" w:hAnsiTheme="minorHAnsi" w:cstheme="minorHAnsi"/>
        </w:rPr>
      </w:pPr>
    </w:p>
    <w:p w14:paraId="44BD43FE" w14:textId="3FE005A4" w:rsidR="00293633" w:rsidRDefault="00293633" w:rsidP="00293633">
      <w:pPr>
        <w:jc w:val="right"/>
        <w:rPr>
          <w:rFonts w:asciiTheme="minorHAnsi" w:hAnsiTheme="minorHAnsi" w:cstheme="minorHAnsi"/>
        </w:rPr>
      </w:pPr>
      <w:r w:rsidRPr="00865552">
        <w:rPr>
          <w:rFonts w:asciiTheme="minorHAnsi" w:hAnsiTheme="minorHAnsi" w:cstheme="minorHAnsi"/>
        </w:rPr>
        <w:t>This policy is reviewed annually to ensure compliance with current regulations</w:t>
      </w:r>
    </w:p>
    <w:p w14:paraId="4D44AB53" w14:textId="77777777" w:rsidR="009256FA" w:rsidRPr="00865552" w:rsidRDefault="009256FA" w:rsidP="00293633">
      <w:pPr>
        <w:jc w:val="right"/>
        <w:rPr>
          <w:rFonts w:asciiTheme="minorHAnsi" w:hAnsiTheme="minorHAnsi" w:cstheme="minorHAnsi"/>
        </w:rPr>
      </w:pPr>
    </w:p>
    <w:tbl>
      <w:tblPr>
        <w:tblStyle w:val="TableGrid"/>
        <w:tblW w:w="4371" w:type="dxa"/>
        <w:tblInd w:w="5802"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10"/>
        <w:gridCol w:w="1961"/>
      </w:tblGrid>
      <w:tr w:rsidR="00293633" w:rsidRPr="00865552" w14:paraId="38EFE324" w14:textId="77777777" w:rsidTr="002202BC">
        <w:tc>
          <w:tcPr>
            <w:tcW w:w="4371" w:type="dxa"/>
            <w:gridSpan w:val="2"/>
            <w:tcBorders>
              <w:top w:val="single" w:sz="8" w:space="0" w:color="auto"/>
              <w:left w:val="single" w:sz="8" w:space="0" w:color="auto"/>
              <w:bottom w:val="single" w:sz="8" w:space="0" w:color="auto"/>
              <w:right w:val="single" w:sz="8" w:space="0" w:color="auto"/>
            </w:tcBorders>
            <w:vAlign w:val="center"/>
          </w:tcPr>
          <w:p w14:paraId="2BE630EE" w14:textId="77777777" w:rsidR="00293633" w:rsidRPr="00865552" w:rsidRDefault="00293633" w:rsidP="001D795A">
            <w:pPr>
              <w:spacing w:line="276" w:lineRule="auto"/>
              <w:rPr>
                <w:rFonts w:asciiTheme="minorHAnsi" w:hAnsiTheme="minorHAnsi" w:cstheme="minorHAnsi"/>
              </w:rPr>
            </w:pPr>
            <w:r w:rsidRPr="00865552">
              <w:rPr>
                <w:rFonts w:asciiTheme="minorHAnsi" w:hAnsiTheme="minorHAnsi" w:cstheme="minorHAnsi"/>
              </w:rPr>
              <w:t>Approved/reviewed by</w:t>
            </w:r>
          </w:p>
        </w:tc>
      </w:tr>
      <w:tr w:rsidR="00293633" w:rsidRPr="00865552" w14:paraId="530E7D5E" w14:textId="77777777" w:rsidTr="009256FA">
        <w:tc>
          <w:tcPr>
            <w:tcW w:w="4371" w:type="dxa"/>
            <w:gridSpan w:val="2"/>
            <w:tcBorders>
              <w:top w:val="single" w:sz="8" w:space="0" w:color="auto"/>
              <w:left w:val="single" w:sz="8" w:space="0" w:color="auto"/>
              <w:bottom w:val="single" w:sz="8" w:space="0" w:color="auto"/>
              <w:right w:val="single" w:sz="8" w:space="0" w:color="auto"/>
            </w:tcBorders>
            <w:vAlign w:val="center"/>
          </w:tcPr>
          <w:p w14:paraId="65E9BD42" w14:textId="0E01563F" w:rsidR="00293633" w:rsidRPr="00865552" w:rsidRDefault="00182EAC" w:rsidP="001D795A">
            <w:pPr>
              <w:spacing w:line="276" w:lineRule="auto"/>
              <w:jc w:val="both"/>
              <w:rPr>
                <w:rFonts w:asciiTheme="minorHAnsi" w:hAnsiTheme="minorHAnsi" w:cstheme="minorHAnsi"/>
              </w:rPr>
            </w:pPr>
            <w:r>
              <w:rPr>
                <w:noProof/>
              </w:rPr>
              <w:drawing>
                <wp:inline distT="0" distB="0" distL="0" distR="0" wp14:anchorId="645666A2" wp14:editId="61AC3415">
                  <wp:extent cx="1038225" cy="533400"/>
                  <wp:effectExtent l="0" t="0" r="9525" b="0"/>
                  <wp:docPr id="105602909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29098" name="Picture 2"/>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225" cy="533400"/>
                          </a:xfrm>
                          <a:prstGeom prst="rect">
                            <a:avLst/>
                          </a:prstGeom>
                          <a:noFill/>
                          <a:ln>
                            <a:noFill/>
                          </a:ln>
                        </pic:spPr>
                      </pic:pic>
                    </a:graphicData>
                  </a:graphic>
                </wp:inline>
              </w:drawing>
            </w:r>
          </w:p>
        </w:tc>
      </w:tr>
      <w:tr w:rsidR="00293633" w:rsidRPr="00865552" w14:paraId="20C5D2DE" w14:textId="77777777" w:rsidTr="002202BC">
        <w:tc>
          <w:tcPr>
            <w:tcW w:w="2410" w:type="dxa"/>
            <w:tcBorders>
              <w:top w:val="single" w:sz="8" w:space="0" w:color="auto"/>
              <w:left w:val="single" w:sz="8" w:space="0" w:color="auto"/>
              <w:bottom w:val="single" w:sz="8" w:space="0" w:color="auto"/>
              <w:right w:val="single" w:sz="8" w:space="0" w:color="auto"/>
            </w:tcBorders>
            <w:vAlign w:val="center"/>
          </w:tcPr>
          <w:p w14:paraId="6DEC6AAB" w14:textId="4534F54C" w:rsidR="00293633" w:rsidRPr="00865552" w:rsidRDefault="00293633" w:rsidP="001D795A">
            <w:pPr>
              <w:spacing w:line="276" w:lineRule="auto"/>
              <w:ind w:left="1080" w:hanging="1080"/>
              <w:rPr>
                <w:rFonts w:asciiTheme="minorHAnsi" w:hAnsiTheme="minorHAnsi" w:cstheme="minorHAnsi"/>
              </w:rPr>
            </w:pPr>
            <w:r w:rsidRPr="00865552">
              <w:rPr>
                <w:rFonts w:asciiTheme="minorHAnsi" w:hAnsiTheme="minorHAnsi" w:cstheme="minorHAnsi"/>
              </w:rPr>
              <w:t>Date of nex</w:t>
            </w:r>
            <w:r w:rsidR="009256FA">
              <w:rPr>
                <w:rFonts w:asciiTheme="minorHAnsi" w:hAnsiTheme="minorHAnsi" w:cstheme="minorHAnsi"/>
              </w:rPr>
              <w:t xml:space="preserve">t </w:t>
            </w:r>
            <w:r w:rsidRPr="00865552">
              <w:rPr>
                <w:rFonts w:asciiTheme="minorHAnsi" w:hAnsiTheme="minorHAnsi" w:cstheme="minorHAnsi"/>
              </w:rPr>
              <w:t>review</w:t>
            </w:r>
          </w:p>
        </w:tc>
        <w:tc>
          <w:tcPr>
            <w:tcW w:w="1961" w:type="dxa"/>
            <w:tcBorders>
              <w:top w:val="single" w:sz="8" w:space="0" w:color="auto"/>
              <w:left w:val="single" w:sz="8" w:space="0" w:color="auto"/>
              <w:bottom w:val="single" w:sz="8" w:space="0" w:color="auto"/>
              <w:right w:val="single" w:sz="8" w:space="0" w:color="auto"/>
            </w:tcBorders>
            <w:vAlign w:val="center"/>
          </w:tcPr>
          <w:p w14:paraId="21C51510" w14:textId="44005988" w:rsidR="00293633" w:rsidRPr="00865552" w:rsidRDefault="00182EAC" w:rsidP="001D795A">
            <w:pPr>
              <w:spacing w:line="276" w:lineRule="auto"/>
              <w:jc w:val="both"/>
              <w:rPr>
                <w:rFonts w:asciiTheme="minorHAnsi" w:hAnsiTheme="minorHAnsi" w:cstheme="minorHAnsi"/>
              </w:rPr>
            </w:pPr>
            <w:r>
              <w:rPr>
                <w:rFonts w:asciiTheme="minorHAnsi" w:hAnsiTheme="minorHAnsi" w:cstheme="minorHAnsi"/>
              </w:rPr>
              <w:t>November 202</w:t>
            </w:r>
            <w:r w:rsidR="004516D5">
              <w:rPr>
                <w:rFonts w:asciiTheme="minorHAnsi" w:hAnsiTheme="minorHAnsi" w:cstheme="minorHAnsi"/>
              </w:rPr>
              <w:t>6</w:t>
            </w:r>
          </w:p>
        </w:tc>
      </w:tr>
    </w:tbl>
    <w:p w14:paraId="60375022" w14:textId="77777777" w:rsidR="00293633" w:rsidRDefault="00293633" w:rsidP="00293633">
      <w:pPr>
        <w:pStyle w:val="Headinglevel1"/>
        <w:spacing w:before="240" w:line="276" w:lineRule="auto"/>
      </w:pPr>
    </w:p>
    <w:p w14:paraId="70388E70" w14:textId="77777777" w:rsidR="00293633" w:rsidRPr="00293633" w:rsidRDefault="00293633" w:rsidP="00293633">
      <w:pPr>
        <w:rPr>
          <w:b/>
          <w:color w:val="000000" w:themeColor="text1"/>
          <w:sz w:val="72"/>
          <w:szCs w:val="72"/>
        </w:rPr>
      </w:pPr>
    </w:p>
    <w:p w14:paraId="09BA219D" w14:textId="77777777" w:rsidR="00293633" w:rsidRPr="00865552" w:rsidRDefault="00293633" w:rsidP="00293633">
      <w:pPr>
        <w:pStyle w:val="Headinglevel1"/>
        <w:spacing w:before="240"/>
        <w:rPr>
          <w:rFonts w:asciiTheme="minorHAnsi" w:hAnsiTheme="minorHAnsi" w:cstheme="minorHAnsi"/>
          <w:color w:val="000000" w:themeColor="text1"/>
          <w:szCs w:val="24"/>
        </w:rPr>
      </w:pPr>
      <w:r w:rsidRPr="00865552">
        <w:rPr>
          <w:rFonts w:asciiTheme="minorHAnsi" w:hAnsiTheme="minorHAnsi" w:cstheme="minorHAnsi"/>
          <w:color w:val="000000" w:themeColor="text1"/>
          <w:szCs w:val="24"/>
        </w:rPr>
        <w:t>Key staff involved in the policy</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410"/>
        <w:gridCol w:w="4596"/>
      </w:tblGrid>
      <w:tr w:rsidR="00293633" w:rsidRPr="00865552" w14:paraId="51137A52" w14:textId="77777777" w:rsidTr="00293633">
        <w:tc>
          <w:tcPr>
            <w:tcW w:w="4952" w:type="dxa"/>
            <w:tcBorders>
              <w:top w:val="single" w:sz="8" w:space="0" w:color="auto"/>
              <w:left w:val="single" w:sz="8" w:space="0" w:color="auto"/>
              <w:bottom w:val="single" w:sz="6" w:space="0" w:color="auto"/>
              <w:right w:val="single" w:sz="6" w:space="0" w:color="auto"/>
            </w:tcBorders>
            <w:shd w:val="clear" w:color="auto" w:fill="000000" w:themeFill="text1"/>
          </w:tcPr>
          <w:p w14:paraId="44A8345D"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Role</w:t>
            </w:r>
          </w:p>
        </w:tc>
        <w:tc>
          <w:tcPr>
            <w:tcW w:w="5080" w:type="dxa"/>
            <w:tcBorders>
              <w:top w:val="single" w:sz="8" w:space="0" w:color="auto"/>
              <w:left w:val="single" w:sz="6" w:space="0" w:color="auto"/>
              <w:bottom w:val="single" w:sz="6" w:space="0" w:color="auto"/>
              <w:right w:val="single" w:sz="8" w:space="0" w:color="auto"/>
            </w:tcBorders>
            <w:shd w:val="clear" w:color="auto" w:fill="000000" w:themeFill="text1"/>
          </w:tcPr>
          <w:p w14:paraId="03EDB3B3" w14:textId="77777777" w:rsidR="00293633" w:rsidRPr="00865552" w:rsidRDefault="00293633" w:rsidP="001D795A">
            <w:pPr>
              <w:rPr>
                <w:rFonts w:asciiTheme="minorHAnsi" w:hAnsiTheme="minorHAnsi" w:cstheme="minorHAnsi"/>
                <w:bCs/>
                <w:color w:val="FFFFFF" w:themeColor="background1"/>
              </w:rPr>
            </w:pPr>
            <w:r w:rsidRPr="00865552">
              <w:rPr>
                <w:rFonts w:asciiTheme="minorHAnsi" w:hAnsiTheme="minorHAnsi" w:cstheme="minorHAnsi"/>
                <w:bCs/>
                <w:color w:val="FFFFFF" w:themeColor="background1"/>
              </w:rPr>
              <w:t>Name(s)</w:t>
            </w:r>
          </w:p>
        </w:tc>
      </w:tr>
      <w:tr w:rsidR="00293633" w:rsidRPr="00865552" w14:paraId="131E934A" w14:textId="77777777" w:rsidTr="001D795A">
        <w:tc>
          <w:tcPr>
            <w:tcW w:w="4952" w:type="dxa"/>
            <w:tcBorders>
              <w:top w:val="single" w:sz="6" w:space="0" w:color="auto"/>
              <w:left w:val="single" w:sz="8" w:space="0" w:color="auto"/>
              <w:bottom w:val="single" w:sz="6" w:space="0" w:color="auto"/>
              <w:right w:val="single" w:sz="6" w:space="0" w:color="auto"/>
            </w:tcBorders>
          </w:tcPr>
          <w:p w14:paraId="734880A4" w14:textId="77777777" w:rsidR="00293633" w:rsidRPr="00865552" w:rsidRDefault="00293633" w:rsidP="001D795A">
            <w:pPr>
              <w:rPr>
                <w:rFonts w:asciiTheme="minorHAnsi" w:hAnsiTheme="minorHAnsi" w:cstheme="minorHAnsi"/>
                <w:bCs/>
                <w:color w:val="000000" w:themeColor="text1"/>
              </w:rPr>
            </w:pPr>
            <w:r w:rsidRPr="00865552">
              <w:rPr>
                <w:rFonts w:asciiTheme="minorHAnsi" w:hAnsiTheme="minorHAnsi" w:cstheme="minorHAnsi"/>
                <w:color w:val="000000" w:themeColor="text1"/>
              </w:rPr>
              <w:t>Head of centre</w:t>
            </w:r>
          </w:p>
        </w:tc>
        <w:tc>
          <w:tcPr>
            <w:tcW w:w="5080" w:type="dxa"/>
            <w:tcBorders>
              <w:top w:val="single" w:sz="6" w:space="0" w:color="auto"/>
              <w:left w:val="single" w:sz="6" w:space="0" w:color="auto"/>
              <w:bottom w:val="single" w:sz="6" w:space="0" w:color="auto"/>
              <w:right w:val="single" w:sz="8" w:space="0" w:color="auto"/>
            </w:tcBorders>
          </w:tcPr>
          <w:p w14:paraId="3F7C0026" w14:textId="67DED2BD" w:rsidR="00293633" w:rsidRPr="00865552" w:rsidRDefault="009256FA" w:rsidP="001D795A">
            <w:pPr>
              <w:rPr>
                <w:rFonts w:asciiTheme="minorHAnsi" w:hAnsiTheme="minorHAnsi" w:cstheme="minorHAnsi"/>
                <w:bCs/>
                <w:color w:val="000000" w:themeColor="text1"/>
              </w:rPr>
            </w:pPr>
            <w:r>
              <w:rPr>
                <w:rFonts w:ascii="Lucida Handwriting" w:hAnsi="Lucida Handwriting"/>
                <w:sz w:val="25"/>
                <w:szCs w:val="25"/>
              </w:rPr>
              <w:t>Stefan McHale</w:t>
            </w:r>
          </w:p>
        </w:tc>
      </w:tr>
      <w:tr w:rsidR="00293633" w:rsidRPr="00865552" w14:paraId="1FB31170" w14:textId="77777777" w:rsidTr="001D795A">
        <w:tc>
          <w:tcPr>
            <w:tcW w:w="4952" w:type="dxa"/>
            <w:tcBorders>
              <w:top w:val="single" w:sz="6" w:space="0" w:color="auto"/>
              <w:left w:val="single" w:sz="8" w:space="0" w:color="auto"/>
              <w:bottom w:val="single" w:sz="6" w:space="0" w:color="auto"/>
              <w:right w:val="single" w:sz="6" w:space="0" w:color="auto"/>
            </w:tcBorders>
          </w:tcPr>
          <w:p w14:paraId="53BA986A" w14:textId="50774069" w:rsidR="00293633" w:rsidRPr="00865552" w:rsidRDefault="00293633" w:rsidP="001D795A">
            <w:pPr>
              <w:rPr>
                <w:rFonts w:asciiTheme="minorHAnsi" w:hAnsiTheme="minorHAnsi" w:cstheme="minorHAnsi"/>
                <w:color w:val="000000" w:themeColor="text1"/>
              </w:rPr>
            </w:pPr>
            <w:r w:rsidRPr="00865552">
              <w:rPr>
                <w:rFonts w:asciiTheme="minorHAnsi" w:hAnsiTheme="minorHAnsi" w:cstheme="minorHAnsi"/>
                <w:color w:val="000000" w:themeColor="text1"/>
              </w:rPr>
              <w:t>Exams officer</w:t>
            </w:r>
          </w:p>
        </w:tc>
        <w:tc>
          <w:tcPr>
            <w:tcW w:w="5080" w:type="dxa"/>
            <w:tcBorders>
              <w:top w:val="single" w:sz="6" w:space="0" w:color="auto"/>
              <w:left w:val="single" w:sz="6" w:space="0" w:color="auto"/>
              <w:bottom w:val="single" w:sz="6" w:space="0" w:color="auto"/>
              <w:right w:val="single" w:sz="8" w:space="0" w:color="auto"/>
            </w:tcBorders>
          </w:tcPr>
          <w:p w14:paraId="3875F133" w14:textId="0E0D7FD7" w:rsidR="00293633" w:rsidRPr="00865552" w:rsidRDefault="009256FA" w:rsidP="001D795A">
            <w:pPr>
              <w:rPr>
                <w:rFonts w:asciiTheme="minorHAnsi" w:hAnsiTheme="minorHAnsi" w:cstheme="minorHAnsi"/>
                <w:bCs/>
                <w:color w:val="000000" w:themeColor="text1"/>
              </w:rPr>
            </w:pPr>
            <w:r>
              <w:rPr>
                <w:rFonts w:ascii="Lucida Handwriting" w:hAnsi="Lucida Handwriting"/>
                <w:bCs/>
                <w:sz w:val="25"/>
                <w:szCs w:val="25"/>
              </w:rPr>
              <w:t>Lisa Gardner</w:t>
            </w:r>
          </w:p>
        </w:tc>
      </w:tr>
    </w:tbl>
    <w:p w14:paraId="29E9CF15" w14:textId="77777777" w:rsidR="00293633" w:rsidRPr="00923DAD" w:rsidRDefault="00293633" w:rsidP="00293633">
      <w:pPr>
        <w:rPr>
          <w:b/>
          <w:color w:val="003399"/>
          <w:sz w:val="72"/>
          <w:szCs w:val="72"/>
        </w:rPr>
      </w:pPr>
    </w:p>
    <w:p w14:paraId="25362252" w14:textId="389049AA" w:rsidR="003A6DF9" w:rsidRDefault="003A6DF9" w:rsidP="003A6DF9">
      <w:pPr>
        <w:ind w:left="-993"/>
        <w:jc w:val="center"/>
      </w:pPr>
      <w:r w:rsidRPr="00737F77">
        <w:lastRenderedPageBreak/>
        <w:br/>
      </w:r>
    </w:p>
    <w:p w14:paraId="0585891C" w14:textId="77777777" w:rsidR="00F556EE" w:rsidRPr="00F556EE" w:rsidRDefault="00F556EE" w:rsidP="00F556EE">
      <w:pPr>
        <w:keepNext/>
        <w:ind w:left="360"/>
        <w:outlineLvl w:val="2"/>
        <w:rPr>
          <w:rFonts w:asciiTheme="minorHAnsi" w:hAnsiTheme="minorHAnsi" w:cstheme="minorHAnsi"/>
          <w:b/>
          <w:bCs/>
        </w:rPr>
      </w:pPr>
      <w:r w:rsidRPr="00F556EE">
        <w:rPr>
          <w:rFonts w:asciiTheme="minorHAnsi" w:hAnsiTheme="minorHAnsi" w:cstheme="minorHAnsi"/>
          <w:b/>
          <w:bCs/>
        </w:rPr>
        <w:t xml:space="preserve">Emergency Evacuation Procedure </w:t>
      </w:r>
    </w:p>
    <w:p w14:paraId="3AB14D11" w14:textId="77777777" w:rsidR="00EE4279" w:rsidRDefault="00582952" w:rsidP="00EE4279">
      <w:pPr>
        <w:pStyle w:val="Default"/>
        <w:ind w:left="360"/>
        <w:jc w:val="both"/>
        <w:rPr>
          <w:rFonts w:asciiTheme="minorHAnsi" w:hAnsiTheme="minorHAnsi" w:cstheme="minorHAnsi"/>
        </w:rPr>
      </w:pPr>
      <w:r w:rsidRPr="00582952">
        <w:rPr>
          <w:rFonts w:asciiTheme="minorHAnsi" w:hAnsiTheme="minorHAnsi" w:cstheme="minorHAnsi"/>
        </w:rPr>
        <w:t xml:space="preserve">An emergency evacuation is required where it is unsafe for candidates to remain in the examination room. This might include a fire, the fire alarm sounding to warn of fire, bomb alert or other serious threat. In exceptional situations, where candidates might be severely disadvantaged or distressed by remaining in the room, the emergency evacuation procedure may also need to be followed. This might include situations where there is severe disruption in the examination room, serious illness of a candidate or invigilator or similarly serious incidents. </w:t>
      </w:r>
    </w:p>
    <w:p w14:paraId="11EAB023" w14:textId="77777777" w:rsidR="00EE4279" w:rsidRDefault="00582952" w:rsidP="00EE4279">
      <w:pPr>
        <w:pStyle w:val="Default"/>
        <w:numPr>
          <w:ilvl w:val="0"/>
          <w:numId w:val="17"/>
        </w:numPr>
        <w:jc w:val="both"/>
        <w:rPr>
          <w:rFonts w:asciiTheme="minorHAnsi" w:hAnsiTheme="minorHAnsi" w:cstheme="minorHAnsi"/>
        </w:rPr>
      </w:pPr>
      <w:r w:rsidRPr="00582952">
        <w:rPr>
          <w:rFonts w:asciiTheme="minorHAnsi" w:hAnsiTheme="minorHAnsi" w:cstheme="minorHAnsi"/>
        </w:rPr>
        <w:t xml:space="preserve">As each incident may be different, advice will be sought (if applicable) from the relevant awarding body as soon as it is safe to do so (ICE 25.6) </w:t>
      </w:r>
    </w:p>
    <w:p w14:paraId="6EE99D15" w14:textId="3316EF64" w:rsidR="00F556EE" w:rsidRPr="00EE4279" w:rsidRDefault="00582952" w:rsidP="00EE4279">
      <w:pPr>
        <w:pStyle w:val="Default"/>
        <w:numPr>
          <w:ilvl w:val="0"/>
          <w:numId w:val="17"/>
        </w:numPr>
        <w:jc w:val="both"/>
        <w:rPr>
          <w:rFonts w:asciiTheme="minorHAnsi" w:hAnsiTheme="minorHAnsi" w:cstheme="minorHAnsi"/>
        </w:rPr>
      </w:pPr>
      <w:r w:rsidRPr="00EE4279">
        <w:rPr>
          <w:rFonts w:asciiTheme="minorHAnsi" w:hAnsiTheme="minorHAnsi" w:cstheme="minorHAnsi"/>
        </w:rPr>
        <w:t>Where candidates are unable to return to the building to complete the examination, the relevant awarding body will be contacted immediately for advice (ICE 25.6)</w:t>
      </w:r>
    </w:p>
    <w:p w14:paraId="59DEE261" w14:textId="77777777" w:rsidR="00EE4279" w:rsidRPr="00F556EE" w:rsidRDefault="00EE4279" w:rsidP="00F556EE">
      <w:pPr>
        <w:pStyle w:val="Default"/>
        <w:jc w:val="both"/>
        <w:rPr>
          <w:rFonts w:asciiTheme="minorHAnsi" w:hAnsiTheme="minorHAnsi" w:cstheme="minorHAnsi"/>
        </w:rPr>
      </w:pPr>
    </w:p>
    <w:p w14:paraId="133C2B63" w14:textId="19ACABEC" w:rsidR="00F556EE" w:rsidRPr="00F556EE" w:rsidRDefault="00EE4279" w:rsidP="00F556EE">
      <w:pPr>
        <w:pStyle w:val="NormalWeb"/>
        <w:shd w:val="clear" w:color="auto" w:fill="FFFFFF"/>
        <w:ind w:left="360"/>
        <w:rPr>
          <w:rFonts w:asciiTheme="minorHAnsi" w:hAnsiTheme="minorHAnsi" w:cstheme="minorHAnsi"/>
          <w:color w:val="414243"/>
        </w:rPr>
      </w:pPr>
      <w:r>
        <w:rPr>
          <w:rStyle w:val="Strong"/>
          <w:rFonts w:asciiTheme="minorHAnsi" w:hAnsiTheme="minorHAnsi" w:cstheme="minorHAnsi"/>
          <w:color w:val="000000"/>
        </w:rPr>
        <w:t>Purpose of the policy</w:t>
      </w:r>
    </w:p>
    <w:p w14:paraId="06593914" w14:textId="367AA2FC" w:rsidR="00F556EE" w:rsidRPr="00F556EE" w:rsidRDefault="00F556EE" w:rsidP="00F556EE">
      <w:pPr>
        <w:pStyle w:val="NormalWeb"/>
        <w:shd w:val="clear" w:color="auto" w:fill="FFFFFF"/>
        <w:ind w:left="72"/>
        <w:rPr>
          <w:rFonts w:asciiTheme="minorHAnsi" w:hAnsiTheme="minorHAnsi" w:cstheme="minorHAnsi"/>
          <w:color w:val="414243"/>
        </w:rPr>
      </w:pPr>
    </w:p>
    <w:p w14:paraId="06176D93" w14:textId="364F6FDE" w:rsidR="00F556EE" w:rsidRPr="00F556EE" w:rsidRDefault="004C2066" w:rsidP="004C2066">
      <w:pPr>
        <w:pStyle w:val="NormalWeb"/>
        <w:shd w:val="clear" w:color="auto" w:fill="FFFFFF"/>
        <w:ind w:left="360"/>
        <w:rPr>
          <w:rFonts w:asciiTheme="minorHAnsi" w:hAnsiTheme="minorHAnsi" w:cstheme="minorHAnsi"/>
          <w:color w:val="414243"/>
        </w:rPr>
      </w:pPr>
      <w:r w:rsidRPr="004C2066">
        <w:rPr>
          <w:rFonts w:asciiTheme="minorHAnsi" w:hAnsiTheme="minorHAnsi" w:cstheme="minorHAnsi"/>
          <w:color w:val="000000"/>
        </w:rPr>
        <w:t>The purpose of this policy is to confirm the arrangements at Brymore Academy for dealing with an emergency evacuation of an examination room by defining staff roles and responsibilities and confirming the emergency evacuation procedure. This policy ensures compliance with JCQ regulations (ICE 25) which state that centres must have a written policy for dealing with emergency evacuation of the examination room which will be subject to inspection by the JCQ Centre Inspection Service.</w:t>
      </w:r>
    </w:p>
    <w:p w14:paraId="1266BED3" w14:textId="1D3183C9" w:rsidR="00824E23" w:rsidRDefault="00824E23" w:rsidP="007A37A4">
      <w:pPr>
        <w:pStyle w:val="NormalWeb"/>
        <w:shd w:val="clear" w:color="auto" w:fill="FFFFFF"/>
        <w:spacing w:before="100" w:beforeAutospacing="1" w:afterAutospacing="1"/>
        <w:rPr>
          <w:rFonts w:ascii="Calibri" w:hAnsi="Calibri" w:cs="Calibri"/>
          <w:color w:val="000000"/>
        </w:rPr>
      </w:pPr>
    </w:p>
    <w:p w14:paraId="2F7446F4"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1. Emergency evacuation procedure</w:t>
      </w:r>
    </w:p>
    <w:p w14:paraId="1AD2CA2C" w14:textId="77777777" w:rsidR="007A37A4" w:rsidRPr="007A37A4" w:rsidRDefault="007A37A4" w:rsidP="007A37A4">
      <w:pPr>
        <w:pStyle w:val="NormalWeb"/>
        <w:shd w:val="clear" w:color="auto" w:fill="FFFFFF"/>
        <w:spacing w:before="100" w:beforeAutospacing="1" w:afterAutospacing="1"/>
        <w:rPr>
          <w:rFonts w:ascii="Calibri" w:hAnsi="Calibri" w:cs="Calibri"/>
          <w:color w:val="000000"/>
        </w:rPr>
      </w:pPr>
      <w:r w:rsidRPr="007A37A4">
        <w:rPr>
          <w:rFonts w:ascii="Calibri" w:hAnsi="Calibri" w:cs="Calibri"/>
          <w:b/>
          <w:bCs/>
          <w:color w:val="000000"/>
        </w:rPr>
        <w:t>Actions taken in the event of an emergency evacuation of the examination room</w:t>
      </w:r>
    </w:p>
    <w:p w14:paraId="336F5355" w14:textId="472E18C6" w:rsidR="007A37A4" w:rsidRPr="007A37A4" w:rsidRDefault="007A37A4" w:rsidP="007A37A4">
      <w:pPr>
        <w:pStyle w:val="NormalWeb"/>
        <w:shd w:val="clear" w:color="auto" w:fill="FFFFFF"/>
        <w:spacing w:before="100" w:beforeAutospacing="1" w:afterAutospacing="1"/>
        <w:rPr>
          <w:rFonts w:ascii="Calibri" w:hAnsi="Calibri" w:cs="Calibri"/>
          <w:color w:val="000000"/>
        </w:rPr>
      </w:pPr>
      <w:r w:rsidRPr="007A37A4">
        <w:rPr>
          <w:rFonts w:ascii="Calibri" w:hAnsi="Calibri" w:cs="Calibri"/>
          <w:color w:val="000000"/>
        </w:rPr>
        <w:t>At Brymore Academy, the following actions (in accordance with ICE 25) are taken if an examination room has</w:t>
      </w:r>
      <w:r w:rsidR="00014091">
        <w:rPr>
          <w:rFonts w:ascii="Calibri" w:hAnsi="Calibri" w:cs="Calibri"/>
          <w:color w:val="000000"/>
        </w:rPr>
        <w:t xml:space="preserve"> </w:t>
      </w:r>
      <w:r w:rsidRPr="007A37A4">
        <w:rPr>
          <w:rFonts w:ascii="Calibri" w:hAnsi="Calibri" w:cs="Calibri"/>
          <w:color w:val="000000"/>
        </w:rPr>
        <w:t>to be evacuated:</w:t>
      </w:r>
    </w:p>
    <w:p w14:paraId="7E8FC762"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Candidates are instructed to stop writing</w:t>
      </w:r>
    </w:p>
    <w:p w14:paraId="40EF88A5"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The attendance register is collected (in order to ensure all candidates are present)</w:t>
      </w:r>
    </w:p>
    <w:p w14:paraId="18E76DCE"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The examination room is evacuated in line with the instructions given by the appropriate authority</w:t>
      </w:r>
    </w:p>
    <w:p w14:paraId="70F65163"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Candidates are advised to leave all question papers and scripts in the examination room. Candidates are</w:t>
      </w:r>
      <w:r w:rsidR="00014091">
        <w:rPr>
          <w:rFonts w:ascii="Calibri" w:hAnsi="Calibri" w:cs="Calibri"/>
          <w:color w:val="000000"/>
        </w:rPr>
        <w:t xml:space="preserve"> </w:t>
      </w:r>
      <w:r w:rsidRPr="007A37A4">
        <w:rPr>
          <w:rFonts w:ascii="Calibri" w:hAnsi="Calibri" w:cs="Calibri"/>
          <w:color w:val="000000"/>
        </w:rPr>
        <w:t>advised to close their answer booklet(s)</w:t>
      </w:r>
    </w:p>
    <w:p w14:paraId="6B9A62E4"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Candidates are instructed to leave the room in silence</w:t>
      </w:r>
    </w:p>
    <w:p w14:paraId="04C87D6B"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Candidates are supervised as closely as possible while they are out of the examination room so that there</w:t>
      </w:r>
      <w:r w:rsidR="00014091">
        <w:rPr>
          <w:rFonts w:ascii="Calibri" w:hAnsi="Calibri" w:cs="Calibri"/>
          <w:color w:val="000000"/>
        </w:rPr>
        <w:t xml:space="preserve"> </w:t>
      </w:r>
      <w:r w:rsidRPr="007A37A4">
        <w:rPr>
          <w:rFonts w:ascii="Calibri" w:hAnsi="Calibri" w:cs="Calibri"/>
          <w:color w:val="000000"/>
        </w:rPr>
        <w:t>is no discussion about the examination</w:t>
      </w:r>
    </w:p>
    <w:p w14:paraId="1693B173"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The time of the interruption is noted and how long it lasted</w:t>
      </w:r>
    </w:p>
    <w:p w14:paraId="0E608311"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Candidates are allowed the remainder of the working time set for the examination once it resumes</w:t>
      </w:r>
    </w:p>
    <w:p w14:paraId="3F099739" w14:textId="77777777" w:rsidR="00014091"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lastRenderedPageBreak/>
        <w:t>If there are only a few candidates, the possibility is considered of taking the candidates (with question</w:t>
      </w:r>
      <w:r w:rsidR="00014091">
        <w:rPr>
          <w:rFonts w:ascii="Calibri" w:hAnsi="Calibri" w:cs="Calibri"/>
          <w:color w:val="000000"/>
        </w:rPr>
        <w:t xml:space="preserve"> </w:t>
      </w:r>
      <w:r w:rsidRPr="007A37A4">
        <w:rPr>
          <w:rFonts w:ascii="Calibri" w:hAnsi="Calibri" w:cs="Calibri"/>
          <w:color w:val="000000"/>
        </w:rPr>
        <w:t>papers and scripts collected by the invigilator) to another place to finish the examination</w:t>
      </w:r>
    </w:p>
    <w:p w14:paraId="217D285D" w14:textId="5F8C795B" w:rsidR="007A37A4" w:rsidRPr="007A37A4" w:rsidRDefault="007A37A4" w:rsidP="007A37A4">
      <w:pPr>
        <w:pStyle w:val="NormalWeb"/>
        <w:numPr>
          <w:ilvl w:val="0"/>
          <w:numId w:val="22"/>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A full report is made of the incident and of the actions taken (and retained on file if required by an</w:t>
      </w:r>
      <w:r w:rsidR="00014091">
        <w:rPr>
          <w:rFonts w:ascii="Calibri" w:hAnsi="Calibri" w:cs="Calibri"/>
          <w:color w:val="000000"/>
        </w:rPr>
        <w:t xml:space="preserve"> </w:t>
      </w:r>
      <w:r w:rsidRPr="007A37A4">
        <w:rPr>
          <w:rFonts w:ascii="Calibri" w:hAnsi="Calibri" w:cs="Calibri"/>
          <w:color w:val="000000"/>
        </w:rPr>
        <w:t>awarding body)</w:t>
      </w:r>
    </w:p>
    <w:p w14:paraId="59823A65"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 xml:space="preserve">For on-screen assessments:      </w:t>
      </w:r>
    </w:p>
    <w:p w14:paraId="391ED76C" w14:textId="77777777" w:rsidR="00060912" w:rsidRDefault="007A37A4" w:rsidP="007A37A4">
      <w:pPr>
        <w:pStyle w:val="NormalWeb"/>
        <w:numPr>
          <w:ilvl w:val="0"/>
          <w:numId w:val="23"/>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candidates must be closely supervised if an emergency evacuation of the assessment room occurs</w:t>
      </w:r>
      <w:r w:rsidR="00060912">
        <w:rPr>
          <w:rFonts w:ascii="Calibri" w:hAnsi="Calibri" w:cs="Calibri"/>
          <w:color w:val="000000"/>
        </w:rPr>
        <w:t xml:space="preserve"> </w:t>
      </w:r>
      <w:r w:rsidRPr="007A37A4">
        <w:rPr>
          <w:rFonts w:ascii="Calibri" w:hAnsi="Calibri" w:cs="Calibri"/>
          <w:color w:val="000000"/>
        </w:rPr>
        <w:t>invigilators should refer to any software specific instructions to safeguard the security of the</w:t>
      </w:r>
      <w:r w:rsidR="00060912" w:rsidRPr="00060912">
        <w:rPr>
          <w:rFonts w:ascii="Calibri" w:hAnsi="Calibri" w:cs="Calibri"/>
          <w:color w:val="000000"/>
        </w:rPr>
        <w:t xml:space="preserve"> </w:t>
      </w:r>
      <w:r w:rsidRPr="007A37A4">
        <w:rPr>
          <w:rFonts w:ascii="Calibri" w:hAnsi="Calibri" w:cs="Calibri"/>
          <w:color w:val="000000"/>
        </w:rPr>
        <w:t>assessment content and candidates’ responses (For example, pausing the assessment for all candidates</w:t>
      </w:r>
      <w:r w:rsidR="00060912">
        <w:rPr>
          <w:rFonts w:ascii="Calibri" w:hAnsi="Calibri" w:cs="Calibri"/>
          <w:color w:val="000000"/>
        </w:rPr>
        <w:t xml:space="preserve"> </w:t>
      </w:r>
      <w:r w:rsidRPr="007A37A4">
        <w:rPr>
          <w:rFonts w:ascii="Calibri" w:hAnsi="Calibri" w:cs="Calibri"/>
          <w:color w:val="000000"/>
        </w:rPr>
        <w:t>and locking the evacuated assessment room without closing down the software)</w:t>
      </w:r>
    </w:p>
    <w:p w14:paraId="70794A38" w14:textId="39AFFAA2" w:rsidR="007A37A4" w:rsidRPr="007A37A4" w:rsidRDefault="007A37A4" w:rsidP="007A37A4">
      <w:pPr>
        <w:pStyle w:val="NormalWeb"/>
        <w:numPr>
          <w:ilvl w:val="0"/>
          <w:numId w:val="23"/>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invigilators should understand the procedures for re-starting an on-screen assessment after an</w:t>
      </w:r>
      <w:r w:rsidR="00060912">
        <w:rPr>
          <w:rFonts w:ascii="Calibri" w:hAnsi="Calibri" w:cs="Calibri"/>
          <w:color w:val="000000"/>
        </w:rPr>
        <w:t xml:space="preserve"> </w:t>
      </w:r>
      <w:r w:rsidRPr="007A37A4">
        <w:rPr>
          <w:rFonts w:ascii="Calibri" w:hAnsi="Calibri" w:cs="Calibri"/>
          <w:color w:val="000000"/>
        </w:rPr>
        <w:t>emergency evacuation of the assessment room, controlling the re-starting of the assessment, re-setting</w:t>
      </w:r>
      <w:r w:rsidR="00060912">
        <w:rPr>
          <w:rFonts w:ascii="Calibri" w:hAnsi="Calibri" w:cs="Calibri"/>
          <w:color w:val="000000"/>
        </w:rPr>
        <w:t xml:space="preserve"> </w:t>
      </w:r>
      <w:r w:rsidRPr="007A37A4">
        <w:rPr>
          <w:rFonts w:ascii="Calibri" w:hAnsi="Calibri" w:cs="Calibri"/>
          <w:color w:val="000000"/>
        </w:rPr>
        <w:t>the timing and ensuring, where appropriate, candidates can access their previous responses</w:t>
      </w:r>
    </w:p>
    <w:p w14:paraId="2EBC04B2" w14:textId="2DA545B4"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In the event of a fire alarm, invigilators are trained to</w:t>
      </w:r>
      <w:r w:rsidR="00060912" w:rsidRPr="00060912">
        <w:rPr>
          <w:rFonts w:ascii="Calibri" w:hAnsi="Calibri" w:cs="Calibri"/>
          <w:b/>
          <w:bCs/>
          <w:color w:val="000000"/>
        </w:rPr>
        <w:t>:</w:t>
      </w:r>
    </w:p>
    <w:p w14:paraId="186B5358" w14:textId="77777777" w:rsidR="00060912" w:rsidRDefault="007A37A4" w:rsidP="007A37A4">
      <w:pPr>
        <w:pStyle w:val="NormalWeb"/>
        <w:numPr>
          <w:ilvl w:val="0"/>
          <w:numId w:val="24"/>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Evacuate the exam room immediately by the nearest fire exit. Escort candidates in silence to the fire</w:t>
      </w:r>
      <w:r w:rsidR="00060912">
        <w:rPr>
          <w:rFonts w:ascii="Calibri" w:hAnsi="Calibri" w:cs="Calibri"/>
          <w:color w:val="000000"/>
        </w:rPr>
        <w:t xml:space="preserve"> </w:t>
      </w:r>
      <w:r w:rsidRPr="007A37A4">
        <w:rPr>
          <w:rFonts w:ascii="Calibri" w:hAnsi="Calibri" w:cs="Calibri"/>
          <w:color w:val="000000"/>
        </w:rPr>
        <w:t>assembly point (the field). Register the students and await further instructions.</w:t>
      </w:r>
    </w:p>
    <w:p w14:paraId="4DF3FBB3" w14:textId="77777777" w:rsidR="004A0E57" w:rsidRDefault="007A37A4" w:rsidP="007A37A4">
      <w:pPr>
        <w:pStyle w:val="NormalWeb"/>
        <w:numPr>
          <w:ilvl w:val="0"/>
          <w:numId w:val="24"/>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When/if allowed to return to the examination room, invigilators allow candidates time to settle down,</w:t>
      </w:r>
      <w:r w:rsidR="00060912">
        <w:rPr>
          <w:rFonts w:ascii="Calibri" w:hAnsi="Calibri" w:cs="Calibri"/>
          <w:color w:val="000000"/>
        </w:rPr>
        <w:t xml:space="preserve"> </w:t>
      </w:r>
      <w:r w:rsidRPr="007A37A4">
        <w:rPr>
          <w:rFonts w:ascii="Calibri" w:hAnsi="Calibri" w:cs="Calibri"/>
          <w:color w:val="000000"/>
        </w:rPr>
        <w:t>reminding them they are still under formal examination conditions and that they must not open their</w:t>
      </w:r>
      <w:r w:rsidR="00060912">
        <w:rPr>
          <w:rFonts w:ascii="Calibri" w:hAnsi="Calibri" w:cs="Calibri"/>
          <w:color w:val="000000"/>
        </w:rPr>
        <w:t xml:space="preserve"> </w:t>
      </w:r>
      <w:r w:rsidRPr="007A37A4">
        <w:rPr>
          <w:rFonts w:ascii="Calibri" w:hAnsi="Calibri" w:cs="Calibri"/>
          <w:color w:val="000000"/>
        </w:rPr>
        <w:t>answer booklets until instructed to do so</w:t>
      </w:r>
    </w:p>
    <w:p w14:paraId="05C395A8" w14:textId="77777777" w:rsidR="004A0E57" w:rsidRDefault="007A37A4" w:rsidP="007A37A4">
      <w:pPr>
        <w:pStyle w:val="NormalWeb"/>
        <w:numPr>
          <w:ilvl w:val="0"/>
          <w:numId w:val="24"/>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Invigilators announce clearly to candidates when they may begin and how much time they have (the</w:t>
      </w:r>
      <w:r w:rsidR="004A0E57">
        <w:rPr>
          <w:rFonts w:ascii="Calibri" w:hAnsi="Calibri" w:cs="Calibri"/>
          <w:color w:val="000000"/>
        </w:rPr>
        <w:t xml:space="preserve"> </w:t>
      </w:r>
      <w:r w:rsidRPr="007A37A4">
        <w:rPr>
          <w:rFonts w:ascii="Calibri" w:hAnsi="Calibri" w:cs="Calibri"/>
          <w:color w:val="000000"/>
        </w:rPr>
        <w:t>examination will formally restart at this point)</w:t>
      </w:r>
    </w:p>
    <w:p w14:paraId="71DC1464" w14:textId="77777777" w:rsidR="004A0E57" w:rsidRDefault="007A37A4" w:rsidP="007A37A4">
      <w:pPr>
        <w:pStyle w:val="NormalWeb"/>
        <w:numPr>
          <w:ilvl w:val="0"/>
          <w:numId w:val="24"/>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Invigilators record the time the examination(s) restarted and amend the displayed finishing time(s) for all</w:t>
      </w:r>
      <w:r w:rsidR="004A0E57">
        <w:rPr>
          <w:rFonts w:ascii="Calibri" w:hAnsi="Calibri" w:cs="Calibri"/>
          <w:color w:val="000000"/>
        </w:rPr>
        <w:t xml:space="preserve"> </w:t>
      </w:r>
      <w:r w:rsidRPr="007A37A4">
        <w:rPr>
          <w:rFonts w:ascii="Calibri" w:hAnsi="Calibri" w:cs="Calibri"/>
          <w:color w:val="000000"/>
        </w:rPr>
        <w:t>candidates to see</w:t>
      </w:r>
    </w:p>
    <w:p w14:paraId="5286C2C6" w14:textId="16EAF9B4" w:rsidR="004A0E57" w:rsidRDefault="007A37A4" w:rsidP="007A37A4">
      <w:pPr>
        <w:pStyle w:val="NormalWeb"/>
        <w:numPr>
          <w:ilvl w:val="0"/>
          <w:numId w:val="24"/>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Invigilators are trained to record as much detail on the exam room incident log when able to do so</w:t>
      </w:r>
      <w:r w:rsidR="004A0E57">
        <w:rPr>
          <w:rFonts w:ascii="Calibri" w:hAnsi="Calibri" w:cs="Calibri"/>
          <w:color w:val="000000"/>
        </w:rPr>
        <w:t xml:space="preserve"> </w:t>
      </w:r>
      <w:r w:rsidRPr="007A37A4">
        <w:rPr>
          <w:rFonts w:ascii="Calibri" w:hAnsi="Calibri" w:cs="Calibri"/>
          <w:color w:val="000000"/>
        </w:rPr>
        <w:t>(ensuring candidates are continually supervised and giving complete attention to this duty at all times) and</w:t>
      </w:r>
      <w:r w:rsidR="004A0E57">
        <w:rPr>
          <w:rFonts w:ascii="Calibri" w:hAnsi="Calibri" w:cs="Calibri"/>
          <w:color w:val="000000"/>
        </w:rPr>
        <w:t xml:space="preserve"> </w:t>
      </w:r>
      <w:r w:rsidRPr="007A37A4">
        <w:rPr>
          <w:rFonts w:ascii="Calibri" w:hAnsi="Calibri" w:cs="Calibri"/>
          <w:color w:val="000000"/>
        </w:rPr>
        <w:t>to ensure the exams officer is fully briefed at the end of the examination(s) to enable a full report to be</w:t>
      </w:r>
      <w:r w:rsidR="004A0E57">
        <w:rPr>
          <w:rFonts w:ascii="Calibri" w:hAnsi="Calibri" w:cs="Calibri"/>
          <w:color w:val="000000"/>
        </w:rPr>
        <w:t xml:space="preserve"> </w:t>
      </w:r>
      <w:r w:rsidRPr="007A37A4">
        <w:rPr>
          <w:rFonts w:ascii="Calibri" w:hAnsi="Calibri" w:cs="Calibri"/>
          <w:color w:val="000000"/>
        </w:rPr>
        <w:t>submitted to the awarding body/bodies</w:t>
      </w:r>
    </w:p>
    <w:p w14:paraId="25FE4EF9" w14:textId="4B7B9D71" w:rsidR="007A37A4" w:rsidRPr="007A37A4" w:rsidRDefault="007A37A4" w:rsidP="007A37A4">
      <w:pPr>
        <w:pStyle w:val="NormalWeb"/>
        <w:numPr>
          <w:ilvl w:val="0"/>
          <w:numId w:val="24"/>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Where not allowed to return to the examination room, or the decision is made by the appropriate</w:t>
      </w:r>
      <w:r w:rsidR="004A0E57">
        <w:rPr>
          <w:rFonts w:ascii="Calibri" w:hAnsi="Calibri" w:cs="Calibri"/>
          <w:color w:val="000000"/>
        </w:rPr>
        <w:t xml:space="preserve"> </w:t>
      </w:r>
      <w:r w:rsidRPr="007A37A4">
        <w:rPr>
          <w:rFonts w:ascii="Calibri" w:hAnsi="Calibri" w:cs="Calibri"/>
          <w:color w:val="000000"/>
        </w:rPr>
        <w:t>authority that the examination(s) cannot be resumed, the centre’s examination contingency plan will be</w:t>
      </w:r>
      <w:r w:rsidR="004A0E57">
        <w:rPr>
          <w:rFonts w:ascii="Calibri" w:hAnsi="Calibri" w:cs="Calibri"/>
          <w:color w:val="000000"/>
        </w:rPr>
        <w:t xml:space="preserve"> </w:t>
      </w:r>
      <w:r w:rsidRPr="007A37A4">
        <w:rPr>
          <w:rFonts w:ascii="Calibri" w:hAnsi="Calibri" w:cs="Calibri"/>
          <w:color w:val="000000"/>
        </w:rPr>
        <w:t>invoked and invigilators/candidates briefed accordingly at the time</w:t>
      </w:r>
    </w:p>
    <w:p w14:paraId="044EE0F2"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2. Roles and responsibilities</w:t>
      </w:r>
    </w:p>
    <w:p w14:paraId="611859F0"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The role of the head of centre</w:t>
      </w:r>
    </w:p>
    <w:p w14:paraId="421D00A0" w14:textId="77777777" w:rsidR="00014091" w:rsidRDefault="007A37A4" w:rsidP="007A37A4">
      <w:pPr>
        <w:pStyle w:val="NormalWeb"/>
        <w:numPr>
          <w:ilvl w:val="0"/>
          <w:numId w:val="21"/>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that the emergency evacuation policy for examinations is fit for purpose and complies with</w:t>
      </w:r>
      <w:r w:rsidR="00014091">
        <w:rPr>
          <w:rFonts w:ascii="Calibri" w:hAnsi="Calibri" w:cs="Calibri"/>
          <w:color w:val="000000"/>
        </w:rPr>
        <w:t xml:space="preserve"> </w:t>
      </w:r>
      <w:r w:rsidRPr="007A37A4">
        <w:rPr>
          <w:rFonts w:ascii="Calibri" w:hAnsi="Calibri" w:cs="Calibri"/>
          <w:color w:val="000000"/>
        </w:rPr>
        <w:t>relevant health and safety regulation</w:t>
      </w:r>
    </w:p>
    <w:p w14:paraId="62ADA138" w14:textId="77777777" w:rsidR="00014091" w:rsidRDefault="007A37A4" w:rsidP="007A37A4">
      <w:pPr>
        <w:pStyle w:val="NormalWeb"/>
        <w:numPr>
          <w:ilvl w:val="0"/>
          <w:numId w:val="21"/>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lastRenderedPageBreak/>
        <w:t>Ensure that any instructions from relevant local or national agencies are referenced and followed where</w:t>
      </w:r>
      <w:r w:rsidR="00014091">
        <w:rPr>
          <w:rFonts w:ascii="Calibri" w:hAnsi="Calibri" w:cs="Calibri"/>
          <w:color w:val="000000"/>
        </w:rPr>
        <w:t xml:space="preserve"> </w:t>
      </w:r>
      <w:r w:rsidRPr="007A37A4">
        <w:rPr>
          <w:rFonts w:ascii="Calibri" w:hAnsi="Calibri" w:cs="Calibri"/>
          <w:color w:val="000000"/>
        </w:rPr>
        <w:t>applicable (ICE 25.1)</w:t>
      </w:r>
    </w:p>
    <w:p w14:paraId="0A96E25A" w14:textId="379B7A3F" w:rsidR="007A37A4" w:rsidRPr="007A37A4" w:rsidRDefault="00014091" w:rsidP="007A37A4">
      <w:pPr>
        <w:pStyle w:val="NormalWeb"/>
        <w:numPr>
          <w:ilvl w:val="0"/>
          <w:numId w:val="21"/>
        </w:numPr>
        <w:shd w:val="clear" w:color="auto" w:fill="FFFFFF"/>
        <w:spacing w:before="100" w:beforeAutospacing="1" w:afterAutospacing="1"/>
        <w:rPr>
          <w:rFonts w:ascii="Calibri" w:hAnsi="Calibri" w:cs="Calibri"/>
          <w:color w:val="000000"/>
        </w:rPr>
      </w:pPr>
      <w:r w:rsidRPr="00014091">
        <w:rPr>
          <w:rFonts w:ascii="Calibri" w:hAnsi="Calibri" w:cs="Calibri"/>
          <w:color w:val="000000"/>
        </w:rPr>
        <w:t>E</w:t>
      </w:r>
      <w:r w:rsidR="007A37A4" w:rsidRPr="007A37A4">
        <w:rPr>
          <w:rFonts w:ascii="Calibri" w:hAnsi="Calibri" w:cs="Calibri"/>
          <w:color w:val="000000"/>
        </w:rPr>
        <w:t>nsures any breach of question paper security or malpractice is reported to the awarding body</w:t>
      </w:r>
      <w:r w:rsidRPr="00014091">
        <w:rPr>
          <w:rFonts w:ascii="Calibri" w:hAnsi="Calibri" w:cs="Calibri"/>
          <w:color w:val="000000"/>
        </w:rPr>
        <w:t xml:space="preserve"> </w:t>
      </w:r>
      <w:r w:rsidR="007A37A4" w:rsidRPr="007A37A4">
        <w:rPr>
          <w:rFonts w:ascii="Calibri" w:hAnsi="Calibri" w:cs="Calibri"/>
          <w:color w:val="000000"/>
        </w:rPr>
        <w:t>immediately (ICE 25.5)</w:t>
      </w:r>
    </w:p>
    <w:p w14:paraId="76556ACF"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The role of the senior leader</w:t>
      </w:r>
    </w:p>
    <w:p w14:paraId="760D63A1" w14:textId="562EC2EE" w:rsidR="007A37A4" w:rsidRPr="007A37A4" w:rsidRDefault="007A37A4" w:rsidP="007A37A4">
      <w:pPr>
        <w:pStyle w:val="NormalWeb"/>
        <w:numPr>
          <w:ilvl w:val="0"/>
          <w:numId w:val="20"/>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Where responsible for the centre-wide emergency evacuation procedure, ensure that all staff and</w:t>
      </w:r>
      <w:r w:rsidR="00014091">
        <w:rPr>
          <w:rFonts w:ascii="Calibri" w:hAnsi="Calibri" w:cs="Calibri"/>
          <w:color w:val="000000"/>
        </w:rPr>
        <w:t xml:space="preserve"> </w:t>
      </w:r>
      <w:r w:rsidRPr="007A37A4">
        <w:rPr>
          <w:rFonts w:ascii="Calibri" w:hAnsi="Calibri" w:cs="Calibri"/>
          <w:color w:val="000000"/>
        </w:rPr>
        <w:t>appointed fire marshals are aware of the policy and procedures to be followed when an emergency</w:t>
      </w:r>
      <w:r w:rsidR="00014091">
        <w:rPr>
          <w:rFonts w:ascii="Calibri" w:hAnsi="Calibri" w:cs="Calibri"/>
          <w:color w:val="000000"/>
        </w:rPr>
        <w:t xml:space="preserve"> </w:t>
      </w:r>
      <w:r w:rsidRPr="007A37A4">
        <w:rPr>
          <w:rFonts w:ascii="Calibri" w:hAnsi="Calibri" w:cs="Calibri"/>
          <w:color w:val="000000"/>
        </w:rPr>
        <w:t>evacuation of an examination room is required</w:t>
      </w:r>
    </w:p>
    <w:p w14:paraId="49C2C571"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The role of the special educational needs coordinator (SENCo) or equivalent role</w:t>
      </w:r>
    </w:p>
    <w:p w14:paraId="600F37A5" w14:textId="77777777" w:rsidR="00014091" w:rsidRDefault="007A37A4" w:rsidP="007A37A4">
      <w:pPr>
        <w:pStyle w:val="NormalWeb"/>
        <w:numPr>
          <w:ilvl w:val="0"/>
          <w:numId w:val="19"/>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that appropriate arrangements are in place for the emergency evacuation of a disabled candidate</w:t>
      </w:r>
      <w:r w:rsidR="00014091">
        <w:rPr>
          <w:rFonts w:ascii="Calibri" w:hAnsi="Calibri" w:cs="Calibri"/>
          <w:color w:val="000000"/>
        </w:rPr>
        <w:t xml:space="preserve"> </w:t>
      </w:r>
      <w:r w:rsidRPr="007A37A4">
        <w:rPr>
          <w:rFonts w:ascii="Calibri" w:hAnsi="Calibri" w:cs="Calibri"/>
          <w:color w:val="000000"/>
        </w:rPr>
        <w:t>from an examination room where different procedures or assistance may need to be provided for the</w:t>
      </w:r>
      <w:r w:rsidR="00014091">
        <w:rPr>
          <w:rFonts w:ascii="Calibri" w:hAnsi="Calibri" w:cs="Calibri"/>
          <w:color w:val="000000"/>
        </w:rPr>
        <w:t xml:space="preserve"> </w:t>
      </w:r>
      <w:r w:rsidRPr="007A37A4">
        <w:rPr>
          <w:rFonts w:ascii="Calibri" w:hAnsi="Calibri" w:cs="Calibri"/>
          <w:color w:val="000000"/>
        </w:rPr>
        <w:t>candidate</w:t>
      </w:r>
    </w:p>
    <w:p w14:paraId="3ACAB45E" w14:textId="0A11985F" w:rsidR="007A37A4" w:rsidRPr="007A37A4" w:rsidRDefault="007A37A4" w:rsidP="007A37A4">
      <w:pPr>
        <w:pStyle w:val="NormalWeb"/>
        <w:numPr>
          <w:ilvl w:val="0"/>
          <w:numId w:val="19"/>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that the candidate is informed prior to taking their examinations of what will happen in the event</w:t>
      </w:r>
      <w:r w:rsidR="00014091" w:rsidRPr="00014091">
        <w:rPr>
          <w:rFonts w:ascii="Calibri" w:hAnsi="Calibri" w:cs="Calibri"/>
          <w:color w:val="000000"/>
        </w:rPr>
        <w:t xml:space="preserve"> </w:t>
      </w:r>
      <w:r w:rsidRPr="007A37A4">
        <w:rPr>
          <w:rFonts w:ascii="Calibri" w:hAnsi="Calibri" w:cs="Calibri"/>
          <w:color w:val="000000"/>
        </w:rPr>
        <w:t>of an emergency evacuation</w:t>
      </w:r>
    </w:p>
    <w:p w14:paraId="0CD7A654" w14:textId="40CF29EC"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The role of the exams office/officer</w:t>
      </w:r>
      <w:r w:rsidR="00014091" w:rsidRPr="00014091">
        <w:rPr>
          <w:rFonts w:ascii="Calibri" w:hAnsi="Calibri" w:cs="Calibri"/>
          <w:b/>
          <w:bCs/>
          <w:color w:val="000000"/>
        </w:rPr>
        <w:t>:</w:t>
      </w:r>
    </w:p>
    <w:p w14:paraId="6480CAA5"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that invigilators are trained in emergency evacuation procedures and how an incident and actions</w:t>
      </w:r>
      <w:r w:rsidR="00014091">
        <w:rPr>
          <w:rFonts w:ascii="Calibri" w:hAnsi="Calibri" w:cs="Calibri"/>
          <w:color w:val="000000"/>
        </w:rPr>
        <w:t xml:space="preserve"> </w:t>
      </w:r>
      <w:r w:rsidRPr="007A37A4">
        <w:rPr>
          <w:rFonts w:ascii="Calibri" w:hAnsi="Calibri" w:cs="Calibri"/>
          <w:color w:val="000000"/>
        </w:rPr>
        <w:t>taken must be recorded</w:t>
      </w:r>
    </w:p>
    <w:p w14:paraId="3563A40E"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that candidates are briefed prior to examinations taking place, on what will happen in the event of</w:t>
      </w:r>
      <w:r w:rsidR="00014091">
        <w:rPr>
          <w:rFonts w:ascii="Calibri" w:hAnsi="Calibri" w:cs="Calibri"/>
          <w:color w:val="000000"/>
        </w:rPr>
        <w:t xml:space="preserve"> </w:t>
      </w:r>
      <w:r w:rsidRPr="007A37A4">
        <w:rPr>
          <w:rFonts w:ascii="Calibri" w:hAnsi="Calibri" w:cs="Calibri"/>
          <w:color w:val="000000"/>
        </w:rPr>
        <w:t>an emergency in the examination room</w:t>
      </w:r>
    </w:p>
    <w:p w14:paraId="0C76C553"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Provide invigilators with a copy of the emergency evacuation procedure in every exam room</w:t>
      </w:r>
    </w:p>
    <w:p w14:paraId="5F9C5506"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Provide a standard invigilator announcement for each exam room which includes appropriate instructions</w:t>
      </w:r>
      <w:r w:rsidR="00014091">
        <w:rPr>
          <w:rFonts w:ascii="Calibri" w:hAnsi="Calibri" w:cs="Calibri"/>
          <w:color w:val="000000"/>
        </w:rPr>
        <w:t xml:space="preserve"> </w:t>
      </w:r>
      <w:r w:rsidRPr="007A37A4">
        <w:rPr>
          <w:rFonts w:ascii="Calibri" w:hAnsi="Calibri" w:cs="Calibri"/>
          <w:color w:val="000000"/>
        </w:rPr>
        <w:t>for candidates about emergency procedures and what will happen if the fire alarm sounds</w:t>
      </w:r>
    </w:p>
    <w:p w14:paraId="2C4C9869"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Provide an exam room incident log in every examination room</w:t>
      </w:r>
    </w:p>
    <w:p w14:paraId="3D45FC92"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Liaise with relevant staff prior to each examination session where different procedures or assistance may</w:t>
      </w:r>
      <w:r w:rsidR="00014091">
        <w:rPr>
          <w:rFonts w:ascii="Calibri" w:hAnsi="Calibri" w:cs="Calibri"/>
          <w:color w:val="000000"/>
        </w:rPr>
        <w:t xml:space="preserve"> </w:t>
      </w:r>
      <w:r w:rsidRPr="007A37A4">
        <w:rPr>
          <w:rFonts w:ascii="Calibri" w:hAnsi="Calibri" w:cs="Calibri"/>
          <w:color w:val="000000"/>
        </w:rPr>
        <w:t>need to be provided for a disabled candidat</w:t>
      </w:r>
      <w:r w:rsidR="00014091">
        <w:rPr>
          <w:rFonts w:ascii="Calibri" w:hAnsi="Calibri" w:cs="Calibri"/>
          <w:color w:val="000000"/>
        </w:rPr>
        <w:t>e</w:t>
      </w:r>
    </w:p>
    <w:p w14:paraId="00355CEE"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Brief invigilators prior to each examination session where different procedures or assistance may need to</w:t>
      </w:r>
      <w:r w:rsidR="00014091">
        <w:rPr>
          <w:rFonts w:ascii="Calibri" w:hAnsi="Calibri" w:cs="Calibri"/>
          <w:color w:val="000000"/>
        </w:rPr>
        <w:t xml:space="preserve"> </w:t>
      </w:r>
      <w:r w:rsidRPr="007A37A4">
        <w:rPr>
          <w:rFonts w:ascii="Calibri" w:hAnsi="Calibri" w:cs="Calibri"/>
          <w:color w:val="000000"/>
        </w:rPr>
        <w:t>be provided for a disabled candidate</w:t>
      </w:r>
    </w:p>
    <w:p w14:paraId="1EDDE2F9"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that appropriate follow-up is undertaken after an emergency evacuation, reporting the incident to</w:t>
      </w:r>
      <w:r w:rsidR="00014091">
        <w:rPr>
          <w:rFonts w:ascii="Calibri" w:hAnsi="Calibri" w:cs="Calibri"/>
          <w:color w:val="000000"/>
        </w:rPr>
        <w:t xml:space="preserve"> </w:t>
      </w:r>
      <w:r w:rsidRPr="007A37A4">
        <w:rPr>
          <w:rFonts w:ascii="Calibri" w:hAnsi="Calibri" w:cs="Calibri"/>
          <w:color w:val="000000"/>
        </w:rPr>
        <w:t>the awarding body and the actions taken</w:t>
      </w:r>
    </w:p>
    <w:p w14:paraId="4F1FBE1F" w14:textId="77777777" w:rsidR="00014091"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a full report of the incident is produced and retained on file if required by an awarding body (ICE</w:t>
      </w:r>
      <w:r w:rsidR="00014091">
        <w:rPr>
          <w:rFonts w:ascii="Calibri" w:hAnsi="Calibri" w:cs="Calibri"/>
          <w:color w:val="000000"/>
        </w:rPr>
        <w:t xml:space="preserve"> </w:t>
      </w:r>
      <w:r w:rsidRPr="007A37A4">
        <w:rPr>
          <w:rFonts w:ascii="Calibri" w:hAnsi="Calibri" w:cs="Calibri"/>
          <w:color w:val="000000"/>
        </w:rPr>
        <w:t>25.4)</w:t>
      </w:r>
    </w:p>
    <w:p w14:paraId="1A55F0E3" w14:textId="3001104F" w:rsidR="007A37A4" w:rsidRPr="007A37A4" w:rsidRDefault="007A37A4" w:rsidP="007A37A4">
      <w:pPr>
        <w:pStyle w:val="NormalWeb"/>
        <w:numPr>
          <w:ilvl w:val="0"/>
          <w:numId w:val="18"/>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Ensure an online application for special consideration is submitted to the relevant awarding body where</w:t>
      </w:r>
      <w:r w:rsidR="00014091">
        <w:rPr>
          <w:rFonts w:ascii="Calibri" w:hAnsi="Calibri" w:cs="Calibri"/>
          <w:color w:val="000000"/>
        </w:rPr>
        <w:t xml:space="preserve"> </w:t>
      </w:r>
      <w:r w:rsidRPr="007A37A4">
        <w:rPr>
          <w:rFonts w:ascii="Calibri" w:hAnsi="Calibri" w:cs="Calibri"/>
          <w:color w:val="000000"/>
        </w:rPr>
        <w:t>candidates have been disadvantaged (ICE 25.7)</w:t>
      </w:r>
    </w:p>
    <w:p w14:paraId="67A79C40" w14:textId="77777777" w:rsidR="004A0E57" w:rsidRDefault="004A0E57" w:rsidP="007A37A4">
      <w:pPr>
        <w:pStyle w:val="NormalWeb"/>
        <w:shd w:val="clear" w:color="auto" w:fill="FFFFFF"/>
        <w:spacing w:before="100" w:beforeAutospacing="1" w:afterAutospacing="1"/>
        <w:rPr>
          <w:rFonts w:ascii="Calibri" w:hAnsi="Calibri" w:cs="Calibri"/>
          <w:b/>
          <w:bCs/>
          <w:color w:val="000000"/>
        </w:rPr>
      </w:pPr>
    </w:p>
    <w:p w14:paraId="51770B54" w14:textId="77777777" w:rsidR="004A0E57" w:rsidRDefault="004A0E57" w:rsidP="007A37A4">
      <w:pPr>
        <w:pStyle w:val="NormalWeb"/>
        <w:shd w:val="clear" w:color="auto" w:fill="FFFFFF"/>
        <w:spacing w:before="100" w:beforeAutospacing="1" w:afterAutospacing="1"/>
        <w:rPr>
          <w:rFonts w:ascii="Calibri" w:hAnsi="Calibri" w:cs="Calibri"/>
          <w:b/>
          <w:bCs/>
          <w:color w:val="000000"/>
        </w:rPr>
      </w:pPr>
    </w:p>
    <w:p w14:paraId="4D363A50" w14:textId="24224328"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The role of invigilators</w:t>
      </w:r>
    </w:p>
    <w:p w14:paraId="5BE75CF8" w14:textId="77777777" w:rsidR="004A0E57" w:rsidRDefault="007A37A4" w:rsidP="007A37A4">
      <w:pPr>
        <w:pStyle w:val="NormalWeb"/>
        <w:numPr>
          <w:ilvl w:val="0"/>
          <w:numId w:val="25"/>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lastRenderedPageBreak/>
        <w:t>By attending training and/or update sessions, ensure they understand what to do in the event of an</w:t>
      </w:r>
      <w:r w:rsidR="004A0E57">
        <w:rPr>
          <w:rFonts w:ascii="Calibri" w:hAnsi="Calibri" w:cs="Calibri"/>
          <w:color w:val="000000"/>
        </w:rPr>
        <w:t xml:space="preserve"> </w:t>
      </w:r>
      <w:r w:rsidRPr="007A37A4">
        <w:rPr>
          <w:rFonts w:ascii="Calibri" w:hAnsi="Calibri" w:cs="Calibri"/>
          <w:color w:val="000000"/>
        </w:rPr>
        <w:t>emergency in the examination room</w:t>
      </w:r>
    </w:p>
    <w:p w14:paraId="46A2BD27" w14:textId="77777777" w:rsidR="004A0E57" w:rsidRDefault="007A37A4" w:rsidP="007A37A4">
      <w:pPr>
        <w:pStyle w:val="NormalWeb"/>
        <w:numPr>
          <w:ilvl w:val="0"/>
          <w:numId w:val="25"/>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Follow the actions required in the emergency evacuation procedure issued to them for every examination</w:t>
      </w:r>
      <w:r w:rsidR="004A0E57">
        <w:rPr>
          <w:rFonts w:ascii="Calibri" w:hAnsi="Calibri" w:cs="Calibri"/>
          <w:color w:val="000000"/>
        </w:rPr>
        <w:t xml:space="preserve"> </w:t>
      </w:r>
      <w:r w:rsidRPr="007A37A4">
        <w:rPr>
          <w:rFonts w:ascii="Calibri" w:hAnsi="Calibri" w:cs="Calibri"/>
          <w:color w:val="000000"/>
        </w:rPr>
        <w:t>roo</w:t>
      </w:r>
      <w:r w:rsidR="004A0E57">
        <w:rPr>
          <w:rFonts w:ascii="Calibri" w:hAnsi="Calibri" w:cs="Calibri"/>
          <w:color w:val="000000"/>
        </w:rPr>
        <w:t>m</w:t>
      </w:r>
    </w:p>
    <w:p w14:paraId="1FEDFD2D" w14:textId="77777777" w:rsidR="004A0E57" w:rsidRDefault="007A37A4" w:rsidP="007A37A4">
      <w:pPr>
        <w:pStyle w:val="NormalWeb"/>
        <w:numPr>
          <w:ilvl w:val="0"/>
          <w:numId w:val="25"/>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Confirm with the exams officer, where different procedures or assistance may need to be provided for a</w:t>
      </w:r>
      <w:r w:rsidR="004A0E57">
        <w:rPr>
          <w:rFonts w:ascii="Calibri" w:hAnsi="Calibri" w:cs="Calibri"/>
          <w:color w:val="000000"/>
        </w:rPr>
        <w:t xml:space="preserve"> </w:t>
      </w:r>
      <w:r w:rsidRPr="007A37A4">
        <w:rPr>
          <w:rFonts w:ascii="Calibri" w:hAnsi="Calibri" w:cs="Calibri"/>
          <w:color w:val="000000"/>
        </w:rPr>
        <w:t>disabled candidate they are invigilating</w:t>
      </w:r>
    </w:p>
    <w:p w14:paraId="27714618" w14:textId="76A64E0E" w:rsidR="007A37A4" w:rsidRPr="007A37A4" w:rsidRDefault="007A37A4" w:rsidP="007A37A4">
      <w:pPr>
        <w:pStyle w:val="NormalWeb"/>
        <w:numPr>
          <w:ilvl w:val="0"/>
          <w:numId w:val="25"/>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Record details on the exam room incident log to support follow-up reporting to the awarding body by the</w:t>
      </w:r>
      <w:r w:rsidR="004A0E57">
        <w:rPr>
          <w:rFonts w:ascii="Calibri" w:hAnsi="Calibri" w:cs="Calibri"/>
          <w:color w:val="000000"/>
        </w:rPr>
        <w:t xml:space="preserve"> </w:t>
      </w:r>
      <w:r w:rsidRPr="007A37A4">
        <w:rPr>
          <w:rFonts w:ascii="Calibri" w:hAnsi="Calibri" w:cs="Calibri"/>
          <w:color w:val="000000"/>
        </w:rPr>
        <w:t>exams officer (see below)</w:t>
      </w:r>
    </w:p>
    <w:p w14:paraId="5111D577"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The role of other centre staff</w:t>
      </w:r>
    </w:p>
    <w:p w14:paraId="428F7042" w14:textId="04C978C7" w:rsidR="007A37A4" w:rsidRPr="007A37A4" w:rsidRDefault="007A37A4" w:rsidP="007A37A4">
      <w:pPr>
        <w:pStyle w:val="NormalWeb"/>
        <w:numPr>
          <w:ilvl w:val="0"/>
          <w:numId w:val="26"/>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Support staff are to support invigilators by ensuring the candidates are not communicating in their lines</w:t>
      </w:r>
      <w:r w:rsidR="004A0E57">
        <w:rPr>
          <w:rFonts w:ascii="Calibri" w:hAnsi="Calibri" w:cs="Calibri"/>
          <w:color w:val="000000"/>
        </w:rPr>
        <w:t xml:space="preserve"> </w:t>
      </w:r>
      <w:r w:rsidRPr="007A37A4">
        <w:rPr>
          <w:rFonts w:ascii="Calibri" w:hAnsi="Calibri" w:cs="Calibri"/>
          <w:color w:val="000000"/>
        </w:rPr>
        <w:t>whilst awaiting further instructions.</w:t>
      </w:r>
    </w:p>
    <w:p w14:paraId="13D2729D" w14:textId="77777777" w:rsidR="007A37A4" w:rsidRPr="007A37A4" w:rsidRDefault="007A37A4" w:rsidP="007A37A4">
      <w:pPr>
        <w:pStyle w:val="NormalWeb"/>
        <w:shd w:val="clear" w:color="auto" w:fill="FFFFFF"/>
        <w:spacing w:before="100" w:beforeAutospacing="1" w:afterAutospacing="1"/>
        <w:rPr>
          <w:rFonts w:ascii="Calibri" w:hAnsi="Calibri" w:cs="Calibri"/>
          <w:b/>
          <w:bCs/>
          <w:color w:val="000000"/>
        </w:rPr>
      </w:pPr>
      <w:r w:rsidRPr="007A37A4">
        <w:rPr>
          <w:rFonts w:ascii="Calibri" w:hAnsi="Calibri" w:cs="Calibri"/>
          <w:b/>
          <w:bCs/>
          <w:color w:val="000000"/>
        </w:rPr>
        <w:t>Recording details</w:t>
      </w:r>
    </w:p>
    <w:p w14:paraId="1758D6C1" w14:textId="03DCDC4D" w:rsidR="004A0E57" w:rsidRDefault="007A37A4" w:rsidP="007A37A4">
      <w:pPr>
        <w:pStyle w:val="NormalWeb"/>
        <w:shd w:val="clear" w:color="auto" w:fill="FFFFFF"/>
        <w:spacing w:before="100" w:beforeAutospacing="1" w:afterAutospacing="1"/>
        <w:rPr>
          <w:rFonts w:ascii="Calibri" w:hAnsi="Calibri" w:cs="Calibri"/>
          <w:color w:val="000000"/>
        </w:rPr>
      </w:pPr>
      <w:r w:rsidRPr="007A37A4">
        <w:rPr>
          <w:rFonts w:ascii="Calibri" w:hAnsi="Calibri" w:cs="Calibri"/>
          <w:color w:val="000000"/>
        </w:rPr>
        <w:t>As soon as practically possible and safe to do so, the following details will be recorded (see Roles and</w:t>
      </w:r>
      <w:r w:rsidR="004A0E57">
        <w:rPr>
          <w:rFonts w:ascii="Calibri" w:hAnsi="Calibri" w:cs="Calibri"/>
          <w:color w:val="000000"/>
        </w:rPr>
        <w:t xml:space="preserve"> </w:t>
      </w:r>
      <w:r w:rsidRPr="007A37A4">
        <w:rPr>
          <w:rFonts w:ascii="Calibri" w:hAnsi="Calibri" w:cs="Calibri"/>
          <w:color w:val="000000"/>
        </w:rPr>
        <w:t>Responsibilities for the members of staff who will record these details)</w:t>
      </w:r>
    </w:p>
    <w:p w14:paraId="2185153B" w14:textId="77777777" w:rsidR="004A0E57" w:rsidRDefault="007A37A4" w:rsidP="007A37A4">
      <w:pPr>
        <w:pStyle w:val="NormalWeb"/>
        <w:numPr>
          <w:ilvl w:val="0"/>
          <w:numId w:val="26"/>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The actual time of the start of the interruption</w:t>
      </w:r>
    </w:p>
    <w:p w14:paraId="13C78BCF" w14:textId="77777777" w:rsidR="004A0E57" w:rsidRDefault="007A37A4" w:rsidP="007A37A4">
      <w:pPr>
        <w:pStyle w:val="NormalWeb"/>
        <w:numPr>
          <w:ilvl w:val="0"/>
          <w:numId w:val="26"/>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 xml:space="preserve"> The actions taken</w:t>
      </w:r>
    </w:p>
    <w:p w14:paraId="1D1201A4" w14:textId="77777777" w:rsidR="004A0E57" w:rsidRDefault="007A37A4" w:rsidP="007A37A4">
      <w:pPr>
        <w:pStyle w:val="NormalWeb"/>
        <w:numPr>
          <w:ilvl w:val="0"/>
          <w:numId w:val="26"/>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The actual time the exam(s) resumed</w:t>
      </w:r>
    </w:p>
    <w:p w14:paraId="27B39BC2" w14:textId="77777777" w:rsidR="004A0E57" w:rsidRDefault="007A37A4" w:rsidP="007A37A4">
      <w:pPr>
        <w:pStyle w:val="NormalWeb"/>
        <w:numPr>
          <w:ilvl w:val="0"/>
          <w:numId w:val="26"/>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The actual finishing time(s) of the resumed exam(s)</w:t>
      </w:r>
    </w:p>
    <w:p w14:paraId="72F0330E" w14:textId="03E3A5B0" w:rsidR="004A0E57" w:rsidRDefault="007A37A4" w:rsidP="004A0E57">
      <w:pPr>
        <w:pStyle w:val="NormalWeb"/>
        <w:shd w:val="clear" w:color="auto" w:fill="FFFFFF"/>
        <w:spacing w:before="100" w:beforeAutospacing="1" w:afterAutospacing="1"/>
        <w:rPr>
          <w:rFonts w:ascii="Calibri" w:hAnsi="Calibri" w:cs="Calibri"/>
          <w:color w:val="000000"/>
        </w:rPr>
      </w:pPr>
      <w:r w:rsidRPr="007A37A4">
        <w:rPr>
          <w:rFonts w:ascii="Calibri" w:hAnsi="Calibri" w:cs="Calibri"/>
          <w:color w:val="000000"/>
        </w:rPr>
        <w:t>Further details which may also be recorded include:</w:t>
      </w:r>
    </w:p>
    <w:p w14:paraId="2D363300" w14:textId="77777777" w:rsidR="004A0E57" w:rsidRDefault="007A37A4" w:rsidP="007A37A4">
      <w:pPr>
        <w:pStyle w:val="NormalWeb"/>
        <w:numPr>
          <w:ilvl w:val="0"/>
          <w:numId w:val="27"/>
        </w:numPr>
        <w:shd w:val="clear" w:color="auto" w:fill="FFFFFF"/>
        <w:spacing w:before="100" w:beforeAutospacing="1" w:afterAutospacing="1"/>
        <w:rPr>
          <w:rFonts w:ascii="Calibri" w:hAnsi="Calibri" w:cs="Calibri"/>
          <w:color w:val="000000"/>
        </w:rPr>
      </w:pPr>
      <w:r w:rsidRPr="007A37A4">
        <w:rPr>
          <w:rFonts w:ascii="Calibri" w:hAnsi="Calibri" w:cs="Calibri"/>
          <w:color w:val="000000"/>
        </w:rPr>
        <w:t>A report on candidate behaviour throughout the interruption/evacuation</w:t>
      </w:r>
    </w:p>
    <w:p w14:paraId="0EE6123D" w14:textId="032B3FAB" w:rsidR="007A37A4" w:rsidRPr="004A0E57" w:rsidRDefault="007A37A4" w:rsidP="007A37A4">
      <w:pPr>
        <w:pStyle w:val="NormalWeb"/>
        <w:numPr>
          <w:ilvl w:val="0"/>
          <w:numId w:val="27"/>
        </w:numPr>
        <w:shd w:val="clear" w:color="auto" w:fill="FFFFFF"/>
        <w:spacing w:before="100" w:beforeAutospacing="1" w:afterAutospacing="1"/>
        <w:rPr>
          <w:rFonts w:ascii="Calibri" w:hAnsi="Calibri" w:cs="Calibri"/>
          <w:color w:val="000000"/>
        </w:rPr>
      </w:pPr>
      <w:r w:rsidRPr="004A0E57">
        <w:rPr>
          <w:rFonts w:ascii="Calibri" w:hAnsi="Calibri" w:cs="Calibri"/>
          <w:color w:val="000000"/>
        </w:rPr>
        <w:t>A judgement on the impact on candidates after the interruption/evacuation</w:t>
      </w:r>
    </w:p>
    <w:sectPr w:rsidR="007A37A4" w:rsidRPr="004A0E5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04C2F"/>
    <w:multiLevelType w:val="hybridMultilevel"/>
    <w:tmpl w:val="D7A0C07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CAE0F16"/>
    <w:multiLevelType w:val="hybridMultilevel"/>
    <w:tmpl w:val="F50C7A2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1B6072"/>
    <w:multiLevelType w:val="hybridMultilevel"/>
    <w:tmpl w:val="97647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66B94"/>
    <w:multiLevelType w:val="hybridMultilevel"/>
    <w:tmpl w:val="A28073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DD64A4"/>
    <w:multiLevelType w:val="hybridMultilevel"/>
    <w:tmpl w:val="4A4CD9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77AA3"/>
    <w:multiLevelType w:val="multilevel"/>
    <w:tmpl w:val="EACA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0034B3"/>
    <w:multiLevelType w:val="hybridMultilevel"/>
    <w:tmpl w:val="E8720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665FF"/>
    <w:multiLevelType w:val="hybridMultilevel"/>
    <w:tmpl w:val="616A8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8701F8"/>
    <w:multiLevelType w:val="hybridMultilevel"/>
    <w:tmpl w:val="D8A4965A"/>
    <w:lvl w:ilvl="0" w:tplc="04090001">
      <w:start w:val="1"/>
      <w:numFmt w:val="bullet"/>
      <w:lvlText w:val=""/>
      <w:lvlJc w:val="left"/>
      <w:pPr>
        <w:tabs>
          <w:tab w:val="num" w:pos="1068"/>
        </w:tabs>
        <w:ind w:left="1068" w:hanging="360"/>
      </w:pPr>
      <w:rPr>
        <w:rFonts w:ascii="Symbol" w:hAnsi="Symbo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9" w15:restartNumberingAfterBreak="0">
    <w:nsid w:val="237B56BB"/>
    <w:multiLevelType w:val="hybridMultilevel"/>
    <w:tmpl w:val="0BC2707C"/>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376D4B"/>
    <w:multiLevelType w:val="multilevel"/>
    <w:tmpl w:val="EACA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725030"/>
    <w:multiLevelType w:val="multilevel"/>
    <w:tmpl w:val="EACAC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9C7942"/>
    <w:multiLevelType w:val="hybridMultilevel"/>
    <w:tmpl w:val="33E67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1B7FB0"/>
    <w:multiLevelType w:val="hybridMultilevel"/>
    <w:tmpl w:val="93FA6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CE3494"/>
    <w:multiLevelType w:val="hybridMultilevel"/>
    <w:tmpl w:val="A0C6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79C2552"/>
    <w:multiLevelType w:val="hybridMultilevel"/>
    <w:tmpl w:val="BE2C2A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84D0F8A"/>
    <w:multiLevelType w:val="hybridMultilevel"/>
    <w:tmpl w:val="10062744"/>
    <w:lvl w:ilvl="0" w:tplc="E2C671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412D65"/>
    <w:multiLevelType w:val="hybridMultilevel"/>
    <w:tmpl w:val="0D887088"/>
    <w:lvl w:ilvl="0" w:tplc="D708DA0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4111E8"/>
    <w:multiLevelType w:val="hybridMultilevel"/>
    <w:tmpl w:val="499E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236CD8"/>
    <w:multiLevelType w:val="hybridMultilevel"/>
    <w:tmpl w:val="BFFCA3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9227ED"/>
    <w:multiLevelType w:val="hybridMultilevel"/>
    <w:tmpl w:val="C9B491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1F377D"/>
    <w:multiLevelType w:val="hybridMultilevel"/>
    <w:tmpl w:val="D89C8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E77FEF"/>
    <w:multiLevelType w:val="hybridMultilevel"/>
    <w:tmpl w:val="B2C02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790D8A"/>
    <w:multiLevelType w:val="hybridMultilevel"/>
    <w:tmpl w:val="5C3029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B9A3413"/>
    <w:multiLevelType w:val="hybridMultilevel"/>
    <w:tmpl w:val="F8EAC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6C53BD"/>
    <w:multiLevelType w:val="multilevel"/>
    <w:tmpl w:val="8EB6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DA5C09"/>
    <w:multiLevelType w:val="hybridMultilevel"/>
    <w:tmpl w:val="158CE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5230795">
    <w:abstractNumId w:val="6"/>
  </w:num>
  <w:num w:numId="2" w16cid:durableId="1473717040">
    <w:abstractNumId w:val="17"/>
  </w:num>
  <w:num w:numId="3" w16cid:durableId="1469585720">
    <w:abstractNumId w:val="1"/>
  </w:num>
  <w:num w:numId="4" w16cid:durableId="122769160">
    <w:abstractNumId w:val="23"/>
  </w:num>
  <w:num w:numId="5" w16cid:durableId="632291339">
    <w:abstractNumId w:val="16"/>
  </w:num>
  <w:num w:numId="6" w16cid:durableId="741297267">
    <w:abstractNumId w:val="2"/>
  </w:num>
  <w:num w:numId="7" w16cid:durableId="2058312080">
    <w:abstractNumId w:val="4"/>
  </w:num>
  <w:num w:numId="8" w16cid:durableId="947857908">
    <w:abstractNumId w:val="11"/>
  </w:num>
  <w:num w:numId="9" w16cid:durableId="1700470699">
    <w:abstractNumId w:val="25"/>
  </w:num>
  <w:num w:numId="10" w16cid:durableId="898244942">
    <w:abstractNumId w:val="10"/>
  </w:num>
  <w:num w:numId="11" w16cid:durableId="1597861922">
    <w:abstractNumId w:val="5"/>
  </w:num>
  <w:num w:numId="12" w16cid:durableId="1576670478">
    <w:abstractNumId w:val="15"/>
  </w:num>
  <w:num w:numId="13" w16cid:durableId="1094596621">
    <w:abstractNumId w:val="19"/>
  </w:num>
  <w:num w:numId="14" w16cid:durableId="327709056">
    <w:abstractNumId w:val="0"/>
  </w:num>
  <w:num w:numId="15" w16cid:durableId="102767755">
    <w:abstractNumId w:val="8"/>
  </w:num>
  <w:num w:numId="16" w16cid:durableId="1384913865">
    <w:abstractNumId w:val="9"/>
  </w:num>
  <w:num w:numId="17" w16cid:durableId="378825133">
    <w:abstractNumId w:val="20"/>
  </w:num>
  <w:num w:numId="18" w16cid:durableId="157162499">
    <w:abstractNumId w:val="22"/>
  </w:num>
  <w:num w:numId="19" w16cid:durableId="1175336908">
    <w:abstractNumId w:val="21"/>
  </w:num>
  <w:num w:numId="20" w16cid:durableId="1856992047">
    <w:abstractNumId w:val="12"/>
  </w:num>
  <w:num w:numId="21" w16cid:durableId="1870218910">
    <w:abstractNumId w:val="26"/>
  </w:num>
  <w:num w:numId="22" w16cid:durableId="532622032">
    <w:abstractNumId w:val="14"/>
  </w:num>
  <w:num w:numId="23" w16cid:durableId="576474683">
    <w:abstractNumId w:val="24"/>
  </w:num>
  <w:num w:numId="24" w16cid:durableId="1456439288">
    <w:abstractNumId w:val="7"/>
  </w:num>
  <w:num w:numId="25" w16cid:durableId="1652638131">
    <w:abstractNumId w:val="18"/>
  </w:num>
  <w:num w:numId="26" w16cid:durableId="2121869851">
    <w:abstractNumId w:val="3"/>
  </w:num>
  <w:num w:numId="27" w16cid:durableId="7693940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6DF9"/>
    <w:rsid w:val="00014091"/>
    <w:rsid w:val="00060912"/>
    <w:rsid w:val="00084EC5"/>
    <w:rsid w:val="000A2741"/>
    <w:rsid w:val="00102E18"/>
    <w:rsid w:val="00182EAC"/>
    <w:rsid w:val="001B19E4"/>
    <w:rsid w:val="002202BC"/>
    <w:rsid w:val="0026417E"/>
    <w:rsid w:val="00293633"/>
    <w:rsid w:val="0031420A"/>
    <w:rsid w:val="003A6DF9"/>
    <w:rsid w:val="003D7D14"/>
    <w:rsid w:val="004440FF"/>
    <w:rsid w:val="004516D5"/>
    <w:rsid w:val="004A0E57"/>
    <w:rsid w:val="004C182F"/>
    <w:rsid w:val="004C2066"/>
    <w:rsid w:val="004F349E"/>
    <w:rsid w:val="00510ACC"/>
    <w:rsid w:val="00516616"/>
    <w:rsid w:val="00580C58"/>
    <w:rsid w:val="00582952"/>
    <w:rsid w:val="005D0026"/>
    <w:rsid w:val="00667C99"/>
    <w:rsid w:val="0067584B"/>
    <w:rsid w:val="00737F77"/>
    <w:rsid w:val="00795C5A"/>
    <w:rsid w:val="007A37A4"/>
    <w:rsid w:val="007C7929"/>
    <w:rsid w:val="00824E23"/>
    <w:rsid w:val="00865552"/>
    <w:rsid w:val="008671EF"/>
    <w:rsid w:val="00882022"/>
    <w:rsid w:val="008947BF"/>
    <w:rsid w:val="009179D1"/>
    <w:rsid w:val="009256FA"/>
    <w:rsid w:val="0093451A"/>
    <w:rsid w:val="009B75B3"/>
    <w:rsid w:val="00A23993"/>
    <w:rsid w:val="00A37E0E"/>
    <w:rsid w:val="00A8014B"/>
    <w:rsid w:val="00BB3820"/>
    <w:rsid w:val="00BC0D2A"/>
    <w:rsid w:val="00BE3E66"/>
    <w:rsid w:val="00C81B5F"/>
    <w:rsid w:val="00CB020B"/>
    <w:rsid w:val="00CB7D89"/>
    <w:rsid w:val="00D62B0B"/>
    <w:rsid w:val="00D94740"/>
    <w:rsid w:val="00E765D1"/>
    <w:rsid w:val="00EE4279"/>
    <w:rsid w:val="00F04A76"/>
    <w:rsid w:val="00F55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CEE7"/>
  <w15:chartTrackingRefBased/>
  <w15:docId w15:val="{5C1A4F50-CEA4-4B57-810C-6F96A748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DF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link w:val="Heading1Char"/>
    <w:qFormat/>
    <w:rsid w:val="00A23993"/>
    <w:pPr>
      <w:spacing w:before="100" w:beforeAutospacing="1" w:after="100" w:afterAutospacing="1"/>
      <w:outlineLvl w:val="0"/>
    </w:pPr>
    <w:rPr>
      <w:rFonts w:ascii="Verdana" w:hAnsi="Verdana"/>
      <w:kern w:val="3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6DF9"/>
    <w:rPr>
      <w:rFonts w:eastAsiaTheme="minorHAnsi"/>
    </w:rPr>
  </w:style>
  <w:style w:type="character" w:customStyle="1" w:styleId="Heading1Char">
    <w:name w:val="Heading 1 Char"/>
    <w:basedOn w:val="DefaultParagraphFont"/>
    <w:link w:val="Heading1"/>
    <w:rsid w:val="00A23993"/>
    <w:rPr>
      <w:rFonts w:ascii="Verdana" w:eastAsia="Times New Roman" w:hAnsi="Verdana" w:cs="Times New Roman"/>
      <w:kern w:val="36"/>
      <w:lang w:eastAsia="en-GB"/>
    </w:rPr>
  </w:style>
  <w:style w:type="paragraph" w:styleId="ListParagraph">
    <w:name w:val="List Paragraph"/>
    <w:basedOn w:val="Normal"/>
    <w:uiPriority w:val="34"/>
    <w:qFormat/>
    <w:rsid w:val="0031420A"/>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Headinglevel1">
    <w:name w:val="Heading level 1"/>
    <w:basedOn w:val="Normal"/>
    <w:qFormat/>
    <w:rsid w:val="00293633"/>
    <w:pPr>
      <w:spacing w:before="120" w:after="240"/>
      <w:outlineLvl w:val="0"/>
    </w:pPr>
    <w:rPr>
      <w:rFonts w:ascii="Tahoma" w:hAnsi="Tahoma"/>
      <w:b/>
      <w:color w:val="003399"/>
      <w:szCs w:val="28"/>
    </w:rPr>
  </w:style>
  <w:style w:type="table" w:styleId="TableGrid">
    <w:name w:val="Table Grid"/>
    <w:basedOn w:val="TableNormal"/>
    <w:uiPriority w:val="59"/>
    <w:rsid w:val="00293633"/>
    <w:pPr>
      <w:spacing w:after="0" w:line="240" w:lineRule="auto"/>
    </w:pPr>
    <w:rPr>
      <w:rFonts w:eastAsiaTheme="minorEastAsia"/>
      <w:lang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F556EE"/>
    <w:pPr>
      <w:autoSpaceDE w:val="0"/>
      <w:autoSpaceDN w:val="0"/>
      <w:adjustRightInd w:val="0"/>
      <w:spacing w:after="0" w:line="240" w:lineRule="auto"/>
    </w:pPr>
    <w:rPr>
      <w:rFonts w:ascii="Arial" w:eastAsia="Calibri" w:hAnsi="Arial" w:cs="Arial"/>
      <w:color w:val="000000"/>
      <w:sz w:val="24"/>
      <w:szCs w:val="24"/>
    </w:rPr>
  </w:style>
  <w:style w:type="character" w:styleId="Strong">
    <w:name w:val="Strong"/>
    <w:uiPriority w:val="22"/>
    <w:qFormat/>
    <w:rsid w:val="00F556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53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244b81-4472-49c4-bd58-e90c13bec0d7">
      <Terms xmlns="http://schemas.microsoft.com/office/infopath/2007/PartnerControls"/>
    </lcf76f155ced4ddcb4097134ff3c332f>
    <TaxCatchAll xmlns="a24685ff-9b27-4634-b133-934d9318cd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A9A46334C2F649B8497B3F6BA3156E" ma:contentTypeVersion="13" ma:contentTypeDescription="Create a new document." ma:contentTypeScope="" ma:versionID="b9c79ab122c502f4c287a91a54c9fcda">
  <xsd:schema xmlns:xsd="http://www.w3.org/2001/XMLSchema" xmlns:xs="http://www.w3.org/2001/XMLSchema" xmlns:p="http://schemas.microsoft.com/office/2006/metadata/properties" xmlns:ns2="2f244b81-4472-49c4-bd58-e90c13bec0d7" xmlns:ns3="a24685ff-9b27-4634-b133-934d9318cda6" targetNamespace="http://schemas.microsoft.com/office/2006/metadata/properties" ma:root="true" ma:fieldsID="207bfa7b380deefbe15725cd0f84914c" ns2:_="" ns3:_="">
    <xsd:import namespace="2f244b81-4472-49c4-bd58-e90c13bec0d7"/>
    <xsd:import namespace="a24685ff-9b27-4634-b133-934d9318cda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44b81-4472-49c4-bd58-e90c13bec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cb8c78b-8e31-4a0f-b610-fb1bf4bbb2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4685ff-9b27-4634-b133-934d9318cd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cb57fb-2995-4d73-8dc7-78a66b447778}" ma:internalName="TaxCatchAll" ma:showField="CatchAllData" ma:web="a24685ff-9b27-4634-b133-934d9318cd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FC1593-D46A-4A4A-BC83-BD8129C8D2B0}">
  <ds:schemaRefs>
    <ds:schemaRef ds:uri="http://schemas.microsoft.com/sharepoint/v3/contenttype/forms"/>
  </ds:schemaRefs>
</ds:datastoreItem>
</file>

<file path=customXml/itemProps2.xml><?xml version="1.0" encoding="utf-8"?>
<ds:datastoreItem xmlns:ds="http://schemas.openxmlformats.org/officeDocument/2006/customXml" ds:itemID="{E6DFFBA3-D9F3-4BD0-9D3D-01CB1A906F6E}">
  <ds:schemaRefs>
    <ds:schemaRef ds:uri="http://schemas.microsoft.com/office/2006/metadata/properties"/>
    <ds:schemaRef ds:uri="http://schemas.microsoft.com/office/infopath/2007/PartnerControls"/>
    <ds:schemaRef ds:uri="2f244b81-4472-49c4-bd58-e90c13bec0d7"/>
    <ds:schemaRef ds:uri="a24685ff-9b27-4634-b133-934d9318cda6"/>
  </ds:schemaRefs>
</ds:datastoreItem>
</file>

<file path=customXml/itemProps3.xml><?xml version="1.0" encoding="utf-8"?>
<ds:datastoreItem xmlns:ds="http://schemas.openxmlformats.org/officeDocument/2006/customXml" ds:itemID="{56021B48-1FC6-4E20-B9A0-CA226AD79B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44b81-4472-49c4-bd58-e90c13bec0d7"/>
    <ds:schemaRef ds:uri="a24685ff-9b27-4634-b133-934d9318c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Vowles</dc:creator>
  <cp:keywords/>
  <dc:description/>
  <cp:lastModifiedBy>Lisa Gardner - Brymore Academy</cp:lastModifiedBy>
  <cp:revision>38</cp:revision>
  <cp:lastPrinted>2025-11-27T12:53:00Z</cp:lastPrinted>
  <dcterms:created xsi:type="dcterms:W3CDTF">2022-05-24T13:58:00Z</dcterms:created>
  <dcterms:modified xsi:type="dcterms:W3CDTF">2025-12-08T13:06:00Z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0x01010003A9A46334C2F649B8497B3F6BA3156E</vt:lpwstr>
  </property>
  <property fmtid="{D5CDD505-2E9C-101B-9397-08002B2CF9AE}" pid="3" name="Order">
    <vt:r8>4810000</vt:r8>
  </property>
  <property fmtid="{D5CDD505-2E9C-101B-9397-08002B2CF9AE}" pid="4" name="MediaServiceImageTags">
    <vt:lpwstr/>
  </property>
</Properties>
</file>