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61CA3264" w:rsidR="00293633" w:rsidRPr="00293633" w:rsidRDefault="00CF46FB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Managing Behaviour Policy</w:t>
      </w:r>
      <w:r w:rsidR="00293633" w:rsidRPr="00293633"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(Exams)</w:t>
      </w: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29E9CF15" w14:textId="77777777" w:rsidR="00293633" w:rsidRPr="00DF441A" w:rsidRDefault="00293633" w:rsidP="00293633">
      <w:pPr>
        <w:rPr>
          <w:b/>
          <w:color w:val="003399"/>
        </w:rPr>
      </w:pPr>
    </w:p>
    <w:p w14:paraId="1337367A" w14:textId="4D1EF678" w:rsidR="00144C86" w:rsidRDefault="003A6DF9" w:rsidP="00CF46FB">
      <w:pPr>
        <w:rPr>
          <w:rFonts w:cs="Tahoma"/>
          <w:color w:val="000000"/>
        </w:rPr>
      </w:pPr>
      <w:r w:rsidRPr="00DF441A">
        <w:br/>
      </w:r>
    </w:p>
    <w:p w14:paraId="66BCE44F" w14:textId="77777777" w:rsidR="00CF46FB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lastRenderedPageBreak/>
        <w:t>Purpose of the policy</w:t>
      </w:r>
    </w:p>
    <w:p w14:paraId="5ABF3291" w14:textId="2871E54F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The purpose of this policy is to confirm that candidate behaviour in the examination room at Brymore Academy is managed in line with JCQ regulations.</w:t>
      </w:r>
    </w:p>
    <w:p w14:paraId="4ACC3573" w14:textId="77777777" w:rsidR="00CF46FB" w:rsidRPr="00436AFB" w:rsidRDefault="00CF46FB" w:rsidP="00CF46FB">
      <w:pPr>
        <w:rPr>
          <w:rFonts w:ascii="Calibri" w:hAnsi="Calibri" w:cs="Calibri"/>
        </w:rPr>
      </w:pPr>
    </w:p>
    <w:p w14:paraId="7403CD33" w14:textId="77777777" w:rsidR="00CF46FB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t>1. Briefing candidates</w:t>
      </w:r>
    </w:p>
    <w:p w14:paraId="56D1A93C" w14:textId="4BBB7B94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To ensure candidates are aware of the standard of behaviour that is required in the examination room,</w:t>
      </w:r>
      <w:r w:rsidR="00935303" w:rsidRPr="00436AFB">
        <w:rPr>
          <w:rFonts w:ascii="Calibri" w:hAnsi="Calibri" w:cs="Calibri"/>
        </w:rPr>
        <w:t xml:space="preserve"> </w:t>
      </w:r>
      <w:r w:rsidRPr="00436AFB">
        <w:rPr>
          <w:rFonts w:ascii="Calibri" w:hAnsi="Calibri" w:cs="Calibri"/>
        </w:rPr>
        <w:t xml:space="preserve">Brymore Academy will: </w:t>
      </w:r>
    </w:p>
    <w:p w14:paraId="4C915102" w14:textId="77777777" w:rsidR="00935303" w:rsidRPr="00436AFB" w:rsidRDefault="00CF46FB" w:rsidP="00CF46FB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 xml:space="preserve">ensure the JCQ Information for </w:t>
      </w:r>
      <w:proofErr w:type="gramStart"/>
      <w:r w:rsidRPr="00436AFB">
        <w:rPr>
          <w:rFonts w:ascii="Calibri" w:hAnsi="Calibri" w:cs="Calibri"/>
          <w:sz w:val="24"/>
          <w:szCs w:val="24"/>
        </w:rPr>
        <w:t>candidates</w:t>
      </w:r>
      <w:proofErr w:type="gramEnd"/>
      <w:r w:rsidRPr="00436AFB">
        <w:rPr>
          <w:rFonts w:ascii="Calibri" w:hAnsi="Calibri" w:cs="Calibri"/>
          <w:sz w:val="24"/>
          <w:szCs w:val="24"/>
        </w:rPr>
        <w:t xml:space="preserve"> documents (coursework, non- examination assessments, onscreen tests, social media and written examinations) and awarding body privacy notices are distributed to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all candidates whether electronically or in hard copy format prior to assessments and/or examinations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taking place. (GR 5.8)</w:t>
      </w:r>
    </w:p>
    <w:p w14:paraId="1F4E338F" w14:textId="77777777" w:rsidR="00935303" w:rsidRPr="00436AFB" w:rsidRDefault="00CF46FB" w:rsidP="00CF46FB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ensure candidates are also made aware of the content of the JCQ Unauthorised items and Warning to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36AFB">
        <w:rPr>
          <w:rFonts w:ascii="Calibri" w:hAnsi="Calibri" w:cs="Calibri"/>
          <w:sz w:val="24"/>
          <w:szCs w:val="24"/>
        </w:rPr>
        <w:t>candidates</w:t>
      </w:r>
      <w:proofErr w:type="gramEnd"/>
      <w:r w:rsidRPr="00436AFB">
        <w:rPr>
          <w:rFonts w:ascii="Calibri" w:hAnsi="Calibri" w:cs="Calibri"/>
          <w:sz w:val="24"/>
          <w:szCs w:val="24"/>
        </w:rPr>
        <w:t xml:space="preserve"> posters (GR 5.8)</w:t>
      </w:r>
    </w:p>
    <w:p w14:paraId="20AB804F" w14:textId="13668C27" w:rsidR="00CF46FB" w:rsidRPr="00436AFB" w:rsidRDefault="00CF46FB" w:rsidP="00CF46FB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prior to assessments and/or examinations taking place, ensure candidates are briefed to reinforce what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they must and must not do when sitting written examinations and/or on-screen tests, and when producing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coursework and/or non-examination assessments (GR 5.8)</w:t>
      </w:r>
    </w:p>
    <w:p w14:paraId="59A0BA14" w14:textId="77777777" w:rsidR="00935303" w:rsidRPr="00436AFB" w:rsidRDefault="00935303" w:rsidP="00935303">
      <w:pPr>
        <w:pStyle w:val="ListParagraph"/>
        <w:rPr>
          <w:rFonts w:ascii="Calibri" w:hAnsi="Calibri" w:cs="Calibri"/>
          <w:sz w:val="24"/>
          <w:szCs w:val="24"/>
        </w:rPr>
      </w:pPr>
    </w:p>
    <w:p w14:paraId="5BE06F2C" w14:textId="77777777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At Brymore Academy candidates are made aware of JCQ information/briefed by:</w:t>
      </w:r>
    </w:p>
    <w:p w14:paraId="4C15DCCD" w14:textId="31DD8D5D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•</w:t>
      </w:r>
      <w:r w:rsidR="00935303" w:rsidRPr="00436AFB">
        <w:rPr>
          <w:rFonts w:ascii="Calibri" w:hAnsi="Calibri" w:cs="Calibri"/>
        </w:rPr>
        <w:t xml:space="preserve"> the senior leadership team in an assembly and given a hard copy during their raising achievement session.</w:t>
      </w:r>
    </w:p>
    <w:p w14:paraId="1D10487E" w14:textId="77777777" w:rsidR="00935303" w:rsidRPr="00436AFB" w:rsidRDefault="00935303" w:rsidP="00CF46FB">
      <w:pPr>
        <w:rPr>
          <w:rFonts w:ascii="Calibri" w:hAnsi="Calibri" w:cs="Calibri"/>
        </w:rPr>
      </w:pPr>
    </w:p>
    <w:p w14:paraId="6B10FAD8" w14:textId="77777777" w:rsidR="00935303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t>2. Candidate malpractice</w:t>
      </w:r>
    </w:p>
    <w:p w14:paraId="0308D440" w14:textId="77777777" w:rsidR="00935303" w:rsidRPr="00436AFB" w:rsidRDefault="00CF46FB" w:rsidP="00CF46FB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‘Malpractice’, means any act, default or practice which is a breach of the Regulations (SMPP 1.2)</w:t>
      </w:r>
    </w:p>
    <w:p w14:paraId="166DCE3F" w14:textId="77777777" w:rsidR="00935303" w:rsidRPr="00436AFB" w:rsidRDefault="00CF46FB" w:rsidP="00CF46FB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Suspected malpractice means all alleged or suspected incidents of malpractice (SMPP 2)</w:t>
      </w:r>
    </w:p>
    <w:p w14:paraId="39C2B51C" w14:textId="77777777" w:rsidR="00935303" w:rsidRPr="00436AFB" w:rsidRDefault="00CF46FB" w:rsidP="00CF46FB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‘Candidate malpractice’ normally involves malpractice by a candidate in connection with any examination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or assessment, including the preparation and authentication of any controlled assessments, coursework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or non-examination assessments, the presentation of any practical work, the compilation of portfolios of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assessment evidence and the completion of any examination (SMPP 2)</w:t>
      </w:r>
    </w:p>
    <w:p w14:paraId="62E5274C" w14:textId="77777777" w:rsidR="00935303" w:rsidRPr="00436AFB" w:rsidRDefault="00CF46FB" w:rsidP="00CF46FB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Inappropriate behaviour by a candidate in the examination room or assessment session is deemed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'candidate malpractice'</w:t>
      </w:r>
    </w:p>
    <w:p w14:paraId="153567A6" w14:textId="77777777" w:rsidR="00935303" w:rsidRPr="00436AFB" w:rsidRDefault="00CF46FB" w:rsidP="00CF46FB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Failure by a centre to notify, investigate and report to an awarding body all allegations of malpractice or</w:t>
      </w:r>
      <w:r w:rsidR="00935303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 xml:space="preserve">suspected malpractice </w:t>
      </w:r>
      <w:proofErr w:type="gramStart"/>
      <w:r w:rsidRPr="00436AFB">
        <w:rPr>
          <w:rFonts w:ascii="Calibri" w:hAnsi="Calibri" w:cs="Calibri"/>
          <w:sz w:val="24"/>
          <w:szCs w:val="24"/>
        </w:rPr>
        <w:t>constitutes</w:t>
      </w:r>
      <w:proofErr w:type="gramEnd"/>
      <w:r w:rsidRPr="00436AF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36AFB">
        <w:rPr>
          <w:rFonts w:ascii="Calibri" w:hAnsi="Calibri" w:cs="Calibri"/>
          <w:sz w:val="24"/>
          <w:szCs w:val="24"/>
        </w:rPr>
        <w:t>malpractice in itself</w:t>
      </w:r>
      <w:proofErr w:type="gramEnd"/>
      <w:r w:rsidRPr="00436AFB">
        <w:rPr>
          <w:rFonts w:ascii="Calibri" w:hAnsi="Calibri" w:cs="Calibri"/>
          <w:sz w:val="24"/>
          <w:szCs w:val="24"/>
        </w:rPr>
        <w:t xml:space="preserve"> (SMPP 1.7)</w:t>
      </w:r>
    </w:p>
    <w:p w14:paraId="3DFA32CB" w14:textId="4FDB16E8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Examples of inappropriate behaviour/actions that constitute 'candidate malpractice' are provided in the final</w:t>
      </w:r>
      <w:r w:rsidR="00935303" w:rsidRPr="00436AFB">
        <w:rPr>
          <w:rFonts w:ascii="Calibri" w:hAnsi="Calibri" w:cs="Calibri"/>
          <w:b/>
          <w:bCs/>
        </w:rPr>
        <w:t xml:space="preserve"> </w:t>
      </w:r>
      <w:r w:rsidRPr="00436AFB">
        <w:rPr>
          <w:rFonts w:ascii="Calibri" w:hAnsi="Calibri" w:cs="Calibri"/>
        </w:rPr>
        <w:t>section of this policy.</w:t>
      </w:r>
    </w:p>
    <w:p w14:paraId="674837A0" w14:textId="77777777" w:rsidR="00935303" w:rsidRPr="00436AFB" w:rsidRDefault="00935303" w:rsidP="00CF46FB">
      <w:pPr>
        <w:rPr>
          <w:rFonts w:ascii="Calibri" w:hAnsi="Calibri" w:cs="Calibri"/>
        </w:rPr>
      </w:pPr>
    </w:p>
    <w:p w14:paraId="61355FC3" w14:textId="77777777" w:rsidR="00935303" w:rsidRDefault="00935303" w:rsidP="00CF46FB">
      <w:pPr>
        <w:rPr>
          <w:rFonts w:ascii="Calibri" w:hAnsi="Calibri" w:cs="Calibri"/>
          <w:b/>
          <w:bCs/>
        </w:rPr>
      </w:pPr>
    </w:p>
    <w:p w14:paraId="64856127" w14:textId="77777777" w:rsidR="009050BC" w:rsidRDefault="009050BC" w:rsidP="00CF46FB">
      <w:pPr>
        <w:rPr>
          <w:rFonts w:ascii="Calibri" w:hAnsi="Calibri" w:cs="Calibri"/>
          <w:b/>
          <w:bCs/>
        </w:rPr>
      </w:pPr>
    </w:p>
    <w:p w14:paraId="7D1B2011" w14:textId="77777777" w:rsidR="009050BC" w:rsidRPr="00436AFB" w:rsidRDefault="009050BC" w:rsidP="00CF46FB">
      <w:pPr>
        <w:rPr>
          <w:rFonts w:ascii="Calibri" w:hAnsi="Calibri" w:cs="Calibri"/>
          <w:b/>
          <w:bCs/>
        </w:rPr>
      </w:pPr>
    </w:p>
    <w:p w14:paraId="427B694B" w14:textId="77777777" w:rsidR="00CF46FB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lastRenderedPageBreak/>
        <w:t>3. Instructions for conducting examinations - Malpractice in the examination room</w:t>
      </w:r>
    </w:p>
    <w:p w14:paraId="13832A08" w14:textId="77777777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The following requirements are applied at Brymore Academy:</w:t>
      </w:r>
    </w:p>
    <w:p w14:paraId="7B273C66" w14:textId="77777777" w:rsidR="00EC257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Candidates are under formal examination conditions from the moment they enter the room in which they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will be taking their examination(s) until the point at which they are permitted to leave</w:t>
      </w:r>
    </w:p>
    <w:p w14:paraId="61BC22BD" w14:textId="77777777" w:rsidR="00EC257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Candidates must not talk to, attempt to communicate with or disturb other candidates once they have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entered the examination room. If they do, this must be reported to the relevant awarding body</w:t>
      </w:r>
    </w:p>
    <w:p w14:paraId="6E6D4C77" w14:textId="77777777" w:rsidR="00EC257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Candidates must not open the question paper until the examination begins. If they do, this must be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reported to the relevant awarding body (ICE 19.1)</w:t>
      </w:r>
    </w:p>
    <w:p w14:paraId="5AEE04B4" w14:textId="77777777" w:rsidR="00EC257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Where a candidate is being disruptive, the invigilator must warn the candidate that they may be removed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from the examination room. The candidate must also be warned that the awarding body will be informed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and may decide to penalise them, which could include disqualification (ICE 24.1)</w:t>
      </w:r>
    </w:p>
    <w:p w14:paraId="29798DCC" w14:textId="77777777" w:rsidR="00EC257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The head of centre, or authorised members of staff, have the authority to remove a candidate from the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examination room but should only do so if the candidate would disrupt others by remaining in the room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(ICE 24.1)</w:t>
      </w:r>
    </w:p>
    <w:p w14:paraId="4E0D70F9" w14:textId="77777777" w:rsidR="00EC257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The head of centre must report to the awarding body immediately all cases of suspected or actual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malpractice in connection with the examination, including candidates, invigilators and centre staff, using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the relevant JCQ forms (ICE 24.3)</w:t>
      </w:r>
    </w:p>
    <w:p w14:paraId="79528D0B" w14:textId="77777777" w:rsidR="00EC257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Where candidates commit malpractice, the awarding body may decide to penalise them, which could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include disqualification. Candidates should be warned of the possible penalties an awarding body may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apply as detailed in the JCQ document Suspected Malpractice: Policies and Procedures (ICE 24.4)</w:t>
      </w:r>
    </w:p>
    <w:p w14:paraId="7ACF52A1" w14:textId="652C4EC3" w:rsidR="00CF46FB" w:rsidRPr="00436AFB" w:rsidRDefault="00CF46FB" w:rsidP="00CF46F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In cases of suspected malpractice, examination scripts must be packed as normal with Form JCQ/M1 being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submitted separately to the relevant awarding body (ICE 24.6)</w:t>
      </w:r>
    </w:p>
    <w:p w14:paraId="08799636" w14:textId="77777777" w:rsidR="00EC257B" w:rsidRPr="00436AFB" w:rsidRDefault="00EC257B" w:rsidP="00CF46FB">
      <w:pPr>
        <w:rPr>
          <w:rFonts w:ascii="Calibri" w:hAnsi="Calibri" w:cs="Calibri"/>
        </w:rPr>
      </w:pPr>
    </w:p>
    <w:p w14:paraId="6DE6D7CB" w14:textId="383FF3D2" w:rsidR="00CF46FB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t>4. Roles and responsibilities</w:t>
      </w:r>
    </w:p>
    <w:p w14:paraId="4BF16FCC" w14:textId="77777777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 xml:space="preserve">The role </w:t>
      </w:r>
      <w:r w:rsidRPr="00436AFB">
        <w:rPr>
          <w:rFonts w:ascii="Calibri" w:hAnsi="Calibri" w:cs="Calibri"/>
          <w:b/>
          <w:bCs/>
        </w:rPr>
        <w:t>of the invigilator</w:t>
      </w:r>
    </w:p>
    <w:p w14:paraId="51FA0DDF" w14:textId="77777777" w:rsidR="00EC257B" w:rsidRPr="00436AFB" w:rsidRDefault="00CF46FB" w:rsidP="00CF46FB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Be vigilant and remain aware of incidents or emerging situations, looking out for malpractice (ICE 20.2)</w:t>
      </w:r>
    </w:p>
    <w:p w14:paraId="520928D0" w14:textId="77777777" w:rsidR="00EC257B" w:rsidRPr="00436AFB" w:rsidRDefault="00CF46FB" w:rsidP="00CF46FB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Warn a disruptive candidate that they may be removed from the examination room (ICE 24.1)</w:t>
      </w:r>
    </w:p>
    <w:p w14:paraId="030BBB7A" w14:textId="29E85B74" w:rsidR="00CF46FB" w:rsidRPr="00436AFB" w:rsidRDefault="00CF46FB" w:rsidP="00CF46FB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Record what has happened and actions taken on the exam room incident log (ICE 24.1)</w:t>
      </w:r>
    </w:p>
    <w:p w14:paraId="7423EB78" w14:textId="77777777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Additional responsibilities:</w:t>
      </w:r>
    </w:p>
    <w:p w14:paraId="210D449F" w14:textId="77777777" w:rsidR="00CF46FB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t xml:space="preserve">The role of the </w:t>
      </w:r>
      <w:proofErr w:type="gramStart"/>
      <w:r w:rsidRPr="00436AFB">
        <w:rPr>
          <w:rFonts w:ascii="Calibri" w:hAnsi="Calibri" w:cs="Calibri"/>
          <w:b/>
          <w:bCs/>
        </w:rPr>
        <w:t>exams</w:t>
      </w:r>
      <w:proofErr w:type="gramEnd"/>
      <w:r w:rsidRPr="00436AFB">
        <w:rPr>
          <w:rFonts w:ascii="Calibri" w:hAnsi="Calibri" w:cs="Calibri"/>
          <w:b/>
          <w:bCs/>
        </w:rPr>
        <w:t xml:space="preserve"> office/officer</w:t>
      </w:r>
    </w:p>
    <w:p w14:paraId="56491594" w14:textId="77777777" w:rsidR="00EC257B" w:rsidRPr="00436AFB" w:rsidRDefault="00CF46FB" w:rsidP="00CF46FB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 xml:space="preserve">Ensure that the JCQ Information for </w:t>
      </w:r>
      <w:proofErr w:type="gramStart"/>
      <w:r w:rsidRPr="00436AFB">
        <w:rPr>
          <w:rFonts w:ascii="Calibri" w:hAnsi="Calibri" w:cs="Calibri"/>
          <w:sz w:val="24"/>
          <w:szCs w:val="24"/>
        </w:rPr>
        <w:t>candidates</w:t>
      </w:r>
      <w:proofErr w:type="gramEnd"/>
      <w:r w:rsidRPr="00436AFB">
        <w:rPr>
          <w:rFonts w:ascii="Calibri" w:hAnsi="Calibri" w:cs="Calibri"/>
          <w:sz w:val="24"/>
          <w:szCs w:val="24"/>
        </w:rPr>
        <w:t xml:space="preserve"> documents (coursework, non- examination assessments,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on-screen tests, social media and written examinations) are distributed to all candidates whether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electronically or in hard copy format prior to assessments and/or examinations taking place and that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 xml:space="preserve">candidates are also made </w:t>
      </w:r>
      <w:r w:rsidRPr="00436AFB">
        <w:rPr>
          <w:rFonts w:ascii="Calibri" w:hAnsi="Calibri" w:cs="Calibri"/>
          <w:sz w:val="24"/>
          <w:szCs w:val="24"/>
        </w:rPr>
        <w:lastRenderedPageBreak/>
        <w:t>aware of the content if the JCQ Unauthorised items and Warning to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36AFB">
        <w:rPr>
          <w:rFonts w:ascii="Calibri" w:hAnsi="Calibri" w:cs="Calibri"/>
          <w:sz w:val="24"/>
          <w:szCs w:val="24"/>
        </w:rPr>
        <w:t>candidates</w:t>
      </w:r>
      <w:proofErr w:type="gramEnd"/>
      <w:r w:rsidRPr="00436AFB">
        <w:rPr>
          <w:rFonts w:ascii="Calibri" w:hAnsi="Calibri" w:cs="Calibri"/>
          <w:sz w:val="24"/>
          <w:szCs w:val="24"/>
        </w:rPr>
        <w:t xml:space="preserve"> posters (GR 5.8)</w:t>
      </w:r>
    </w:p>
    <w:p w14:paraId="235B957B" w14:textId="77777777" w:rsidR="00EC257B" w:rsidRPr="00436AFB" w:rsidRDefault="00CF46FB" w:rsidP="00CF46FB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Ensure when conducting examinations that the JCQ Unauthorised items and Warning to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36AFB">
        <w:rPr>
          <w:rFonts w:ascii="Calibri" w:hAnsi="Calibri" w:cs="Calibri"/>
          <w:sz w:val="24"/>
          <w:szCs w:val="24"/>
        </w:rPr>
        <w:t>candidates</w:t>
      </w:r>
      <w:proofErr w:type="gramEnd"/>
      <w:r w:rsidRPr="00436AFB">
        <w:rPr>
          <w:rFonts w:ascii="Calibri" w:hAnsi="Calibri" w:cs="Calibri"/>
          <w:sz w:val="24"/>
          <w:szCs w:val="24"/>
        </w:rPr>
        <w:t xml:space="preserve"> posters are displayed in a prominent place for all candidates to see prior to entering the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examination room (GR 5.8)</w:t>
      </w:r>
    </w:p>
    <w:p w14:paraId="6A48AD61" w14:textId="4A13582A" w:rsidR="00CF46FB" w:rsidRPr="00436AFB" w:rsidRDefault="00CF46FB" w:rsidP="00CF46FB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Where a candidate is being/has been disruptive in the examination room, warn the candidate that the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awarding body will be informed and may decide to penalise them, which could include disqualification (ICE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24.1)</w:t>
      </w:r>
    </w:p>
    <w:p w14:paraId="01305F86" w14:textId="632A1E98" w:rsidR="00CF46FB" w:rsidRPr="00436AFB" w:rsidRDefault="00CF46FB" w:rsidP="00CF46FB">
      <w:pPr>
        <w:rPr>
          <w:rFonts w:ascii="Calibri" w:hAnsi="Calibri" w:cs="Calibri"/>
        </w:rPr>
      </w:pPr>
    </w:p>
    <w:p w14:paraId="37CD3FC4" w14:textId="77777777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Additional responsibilities:</w:t>
      </w:r>
    </w:p>
    <w:p w14:paraId="581422DC" w14:textId="77777777" w:rsidR="00CF46FB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t>The role of the head of centre</w:t>
      </w:r>
    </w:p>
    <w:p w14:paraId="0C31EC76" w14:textId="77777777" w:rsidR="00EC257B" w:rsidRPr="00436AFB" w:rsidRDefault="00CF46FB" w:rsidP="00CF46FB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Where a candidate is seriously disrupting others, makes the decision (or authorised members of staff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make the decision) to remove the candidate from the examination room (ICE 24.1)</w:t>
      </w:r>
    </w:p>
    <w:p w14:paraId="77CADFEE" w14:textId="284B051E" w:rsidR="00CF46FB" w:rsidRPr="00436AFB" w:rsidRDefault="00CF46FB" w:rsidP="00CF46FB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Report to the awarding body immediately all cases of alleged, suspected or actual malpractice in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connection with the examination, including candidates, invigilators and centre staff, by completing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the relevant JCQ forms (ICE 24.3)</w:t>
      </w:r>
    </w:p>
    <w:p w14:paraId="6B4F80AD" w14:textId="77777777" w:rsidR="00CF46FB" w:rsidRPr="00436AFB" w:rsidRDefault="00CF46FB" w:rsidP="00CF46FB">
      <w:pPr>
        <w:rPr>
          <w:rFonts w:ascii="Calibri" w:hAnsi="Calibri" w:cs="Calibri"/>
        </w:rPr>
      </w:pPr>
      <w:r w:rsidRPr="00436AFB">
        <w:rPr>
          <w:rFonts w:ascii="Calibri" w:hAnsi="Calibri" w:cs="Calibri"/>
        </w:rPr>
        <w:t>Additional responsibilities:</w:t>
      </w:r>
    </w:p>
    <w:p w14:paraId="6408682E" w14:textId="77777777" w:rsidR="00CF46FB" w:rsidRPr="00436AFB" w:rsidRDefault="00CF46FB" w:rsidP="00CF46FB">
      <w:pPr>
        <w:rPr>
          <w:rFonts w:ascii="Calibri" w:hAnsi="Calibri" w:cs="Calibri"/>
          <w:b/>
          <w:bCs/>
        </w:rPr>
      </w:pPr>
      <w:r w:rsidRPr="00436AFB">
        <w:rPr>
          <w:rFonts w:ascii="Calibri" w:hAnsi="Calibri" w:cs="Calibri"/>
          <w:b/>
          <w:bCs/>
        </w:rPr>
        <w:t>The role of the senior leader</w:t>
      </w:r>
    </w:p>
    <w:p w14:paraId="66C3499C" w14:textId="77777777" w:rsidR="00EC257B" w:rsidRPr="00436AFB" w:rsidRDefault="00CF46FB" w:rsidP="00CF46FB">
      <w:pPr>
        <w:pStyle w:val="ListParagraph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Ensure support is provided for the exams officer and invigilators when dealing with disruptive candidates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in examination rooms</w:t>
      </w:r>
    </w:p>
    <w:p w14:paraId="25362252" w14:textId="576C746A" w:rsidR="003A6DF9" w:rsidRPr="00436AFB" w:rsidRDefault="00CF46FB" w:rsidP="00CF46FB">
      <w:pPr>
        <w:pStyle w:val="ListParagraph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436AFB">
        <w:rPr>
          <w:rFonts w:ascii="Calibri" w:hAnsi="Calibri" w:cs="Calibri"/>
          <w:sz w:val="24"/>
          <w:szCs w:val="24"/>
        </w:rPr>
        <w:t>Ensure that internal disciplinary procedures relating to candidate behaviour are instigated, when</w:t>
      </w:r>
      <w:r w:rsidR="00EC257B" w:rsidRPr="00436AFB">
        <w:rPr>
          <w:rFonts w:ascii="Calibri" w:hAnsi="Calibri" w:cs="Calibri"/>
          <w:sz w:val="24"/>
          <w:szCs w:val="24"/>
        </w:rPr>
        <w:t xml:space="preserve"> </w:t>
      </w:r>
      <w:r w:rsidRPr="00436AFB">
        <w:rPr>
          <w:rFonts w:ascii="Calibri" w:hAnsi="Calibri" w:cs="Calibri"/>
          <w:sz w:val="24"/>
          <w:szCs w:val="24"/>
        </w:rPr>
        <w:t>appropriate</w:t>
      </w:r>
      <w:r w:rsidR="00EC257B" w:rsidRPr="00436AFB">
        <w:rPr>
          <w:rFonts w:ascii="Calibri" w:hAnsi="Calibri" w:cs="Calibri"/>
          <w:sz w:val="24"/>
          <w:szCs w:val="24"/>
        </w:rPr>
        <w:t>.</w:t>
      </w:r>
    </w:p>
    <w:sectPr w:rsidR="003A6DF9" w:rsidRPr="00436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7E88"/>
    <w:multiLevelType w:val="hybridMultilevel"/>
    <w:tmpl w:val="044C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91815"/>
    <w:multiLevelType w:val="hybridMultilevel"/>
    <w:tmpl w:val="2D28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522F"/>
    <w:multiLevelType w:val="hybridMultilevel"/>
    <w:tmpl w:val="5E16C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04C1A"/>
    <w:multiLevelType w:val="hybridMultilevel"/>
    <w:tmpl w:val="97622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3373B"/>
    <w:multiLevelType w:val="hybridMultilevel"/>
    <w:tmpl w:val="40382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A7FC2"/>
    <w:multiLevelType w:val="hybridMultilevel"/>
    <w:tmpl w:val="2952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C107A"/>
    <w:multiLevelType w:val="hybridMultilevel"/>
    <w:tmpl w:val="82986A64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14401451">
    <w:abstractNumId w:val="5"/>
  </w:num>
  <w:num w:numId="2" w16cid:durableId="2082943034">
    <w:abstractNumId w:val="11"/>
  </w:num>
  <w:num w:numId="3" w16cid:durableId="1081871420">
    <w:abstractNumId w:val="1"/>
  </w:num>
  <w:num w:numId="4" w16cid:durableId="1947230793">
    <w:abstractNumId w:val="14"/>
  </w:num>
  <w:num w:numId="5" w16cid:durableId="1221790742">
    <w:abstractNumId w:val="9"/>
  </w:num>
  <w:num w:numId="6" w16cid:durableId="1626110871">
    <w:abstractNumId w:val="2"/>
  </w:num>
  <w:num w:numId="7" w16cid:durableId="1773625575">
    <w:abstractNumId w:val="8"/>
  </w:num>
  <w:num w:numId="8" w16cid:durableId="1680159767">
    <w:abstractNumId w:val="13"/>
  </w:num>
  <w:num w:numId="9" w16cid:durableId="1079407753">
    <w:abstractNumId w:val="0"/>
  </w:num>
  <w:num w:numId="10" w16cid:durableId="2000963139">
    <w:abstractNumId w:val="17"/>
  </w:num>
  <w:num w:numId="11" w16cid:durableId="1810200354">
    <w:abstractNumId w:val="16"/>
  </w:num>
  <w:num w:numId="12" w16cid:durableId="266158322">
    <w:abstractNumId w:val="3"/>
  </w:num>
  <w:num w:numId="13" w16cid:durableId="551307042">
    <w:abstractNumId w:val="6"/>
  </w:num>
  <w:num w:numId="14" w16cid:durableId="1295405327">
    <w:abstractNumId w:val="18"/>
  </w:num>
  <w:num w:numId="15" w16cid:durableId="1911574178">
    <w:abstractNumId w:val="12"/>
  </w:num>
  <w:num w:numId="16" w16cid:durableId="749817758">
    <w:abstractNumId w:val="7"/>
  </w:num>
  <w:num w:numId="17" w16cid:durableId="2117947617">
    <w:abstractNumId w:val="4"/>
  </w:num>
  <w:num w:numId="18" w16cid:durableId="1965427888">
    <w:abstractNumId w:val="15"/>
  </w:num>
  <w:num w:numId="19" w16cid:durableId="234122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0563B5"/>
    <w:rsid w:val="00102E18"/>
    <w:rsid w:val="00144C86"/>
    <w:rsid w:val="00144D46"/>
    <w:rsid w:val="00293633"/>
    <w:rsid w:val="0031420A"/>
    <w:rsid w:val="003A6DF9"/>
    <w:rsid w:val="003D7D14"/>
    <w:rsid w:val="00436AFB"/>
    <w:rsid w:val="004F349E"/>
    <w:rsid w:val="00510ACC"/>
    <w:rsid w:val="00580C58"/>
    <w:rsid w:val="005D0026"/>
    <w:rsid w:val="00667C99"/>
    <w:rsid w:val="0067584B"/>
    <w:rsid w:val="00737F77"/>
    <w:rsid w:val="00795C5A"/>
    <w:rsid w:val="007C7929"/>
    <w:rsid w:val="00865552"/>
    <w:rsid w:val="008C2AB3"/>
    <w:rsid w:val="009050BC"/>
    <w:rsid w:val="009256FA"/>
    <w:rsid w:val="00935303"/>
    <w:rsid w:val="009F48DB"/>
    <w:rsid w:val="00A035B2"/>
    <w:rsid w:val="00A23993"/>
    <w:rsid w:val="00A37E0E"/>
    <w:rsid w:val="00A8014B"/>
    <w:rsid w:val="00AE4028"/>
    <w:rsid w:val="00AE4C9B"/>
    <w:rsid w:val="00BA070F"/>
    <w:rsid w:val="00BB3820"/>
    <w:rsid w:val="00BC0D2A"/>
    <w:rsid w:val="00BE3E66"/>
    <w:rsid w:val="00C81B5F"/>
    <w:rsid w:val="00CB020B"/>
    <w:rsid w:val="00CB7D89"/>
    <w:rsid w:val="00CF46FB"/>
    <w:rsid w:val="00D037EB"/>
    <w:rsid w:val="00D62B0B"/>
    <w:rsid w:val="00D94740"/>
    <w:rsid w:val="00DF441A"/>
    <w:rsid w:val="00E10645"/>
    <w:rsid w:val="00E765D1"/>
    <w:rsid w:val="00E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Props1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28</cp:revision>
  <dcterms:created xsi:type="dcterms:W3CDTF">2022-05-24T13:58:00Z</dcterms:created>
  <dcterms:modified xsi:type="dcterms:W3CDTF">2025-12-08T13:01:00Z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