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3DC30171" w:rsidR="00293633" w:rsidRPr="00293633" w:rsidRDefault="00021918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Overnight Supervisi</w:t>
      </w:r>
      <w:r w:rsidR="00BD71E1">
        <w:rPr>
          <w:rFonts w:asciiTheme="minorHAnsi" w:hAnsiTheme="minorHAnsi" w:cstheme="minorHAnsi"/>
          <w:b/>
          <w:color w:val="000000" w:themeColor="text1"/>
          <w:sz w:val="72"/>
          <w:szCs w:val="72"/>
        </w:rPr>
        <w:t>on Arrangements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Pr="00DF441A" w:rsidRDefault="00293633" w:rsidP="00293633">
      <w:pPr>
        <w:rPr>
          <w:b/>
          <w:color w:val="003399"/>
        </w:rPr>
      </w:pPr>
    </w:p>
    <w:p w14:paraId="50285BEC" w14:textId="77777777" w:rsidR="009A65C0" w:rsidRDefault="009A65C0" w:rsidP="00144C86"/>
    <w:p w14:paraId="33712CC2" w14:textId="43E8AC57" w:rsidR="00144C86" w:rsidRPr="00CA47E7" w:rsidRDefault="003A6DF9" w:rsidP="00144C86">
      <w:pPr>
        <w:rPr>
          <w:rFonts w:asciiTheme="minorHAnsi" w:hAnsiTheme="minorHAnsi" w:cstheme="minorHAnsi"/>
          <w:b/>
          <w:bCs/>
        </w:rPr>
      </w:pPr>
      <w:r w:rsidRPr="00681952">
        <w:rPr>
          <w:sz w:val="22"/>
          <w:szCs w:val="22"/>
        </w:rPr>
        <w:lastRenderedPageBreak/>
        <w:br/>
      </w:r>
      <w:r w:rsidR="00144C86" w:rsidRPr="00CA47E7">
        <w:rPr>
          <w:rFonts w:asciiTheme="minorHAnsi" w:hAnsiTheme="minorHAnsi" w:cstheme="minorHAnsi"/>
          <w:b/>
          <w:bCs/>
        </w:rPr>
        <w:t>Purpose of the Process</w:t>
      </w:r>
    </w:p>
    <w:p w14:paraId="60B33B44" w14:textId="77777777" w:rsidR="0025267F" w:rsidRPr="00CA47E7" w:rsidRDefault="0025267F" w:rsidP="0025267F">
      <w:pPr>
        <w:rPr>
          <w:rFonts w:ascii="Calibri" w:hAnsi="Calibri" w:cs="Calibri"/>
        </w:rPr>
      </w:pPr>
      <w:r w:rsidRPr="00CA47E7">
        <w:rPr>
          <w:rFonts w:ascii="Calibri" w:hAnsi="Calibri" w:cs="Calibri"/>
        </w:rPr>
        <w:t>This purpose of this policy is to confirm that Brymore Academy:</w:t>
      </w:r>
    </w:p>
    <w:p w14:paraId="1C609120" w14:textId="77777777" w:rsidR="00D92E4F" w:rsidRPr="00CA47E7" w:rsidRDefault="0025267F" w:rsidP="0025267F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follows the correct procedures when considering the arrangements for a candidate entered for multiple</w:t>
      </w:r>
      <w:r w:rsidR="00D92E4F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examinations timetabled for the same day</w:t>
      </w:r>
    </w:p>
    <w:p w14:paraId="7287AF07" w14:textId="77777777" w:rsidR="00D92E4F" w:rsidRPr="00CA47E7" w:rsidRDefault="0025267F" w:rsidP="0025267F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reserves the right to exercise discretion when considering allowing a candidate to take an examination the</w:t>
      </w:r>
      <w:r w:rsidR="00D92E4F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following morning</w:t>
      </w:r>
    </w:p>
    <w:p w14:paraId="2DDE71B2" w14:textId="5A529C39" w:rsidR="0025267F" w:rsidRPr="00CA47E7" w:rsidRDefault="0025267F" w:rsidP="0025267F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has appropriate arrangements in place to maintain the security and integrity of the examination(s)</w:t>
      </w:r>
    </w:p>
    <w:p w14:paraId="49BC936E" w14:textId="77777777" w:rsidR="0025267F" w:rsidRPr="00CA47E7" w:rsidRDefault="0025267F" w:rsidP="0025267F">
      <w:pPr>
        <w:rPr>
          <w:rFonts w:ascii="Calibri" w:hAnsi="Calibri" w:cs="Calibri"/>
          <w:b/>
          <w:bCs/>
        </w:rPr>
      </w:pPr>
      <w:r w:rsidRPr="00CA47E7">
        <w:rPr>
          <w:rFonts w:ascii="Calibri" w:hAnsi="Calibri" w:cs="Calibri"/>
          <w:b/>
          <w:bCs/>
        </w:rPr>
        <w:t>1. Overnight supervision arrangements</w:t>
      </w:r>
    </w:p>
    <w:p w14:paraId="17C33045" w14:textId="2E873654" w:rsidR="0025267F" w:rsidRPr="00CA47E7" w:rsidRDefault="0025267F" w:rsidP="0025267F">
      <w:pPr>
        <w:rPr>
          <w:rFonts w:ascii="Calibri" w:hAnsi="Calibri" w:cs="Calibri"/>
        </w:rPr>
      </w:pPr>
      <w:r w:rsidRPr="00CA47E7">
        <w:rPr>
          <w:rFonts w:ascii="Calibri" w:hAnsi="Calibri" w:cs="Calibri"/>
        </w:rPr>
        <w:t>When candidates are entered for multiple examinations (three or more examinations)</w:t>
      </w:r>
      <w:r w:rsidR="00D92E4F" w:rsidRPr="00CA47E7">
        <w:rPr>
          <w:rFonts w:ascii="Calibri" w:hAnsi="Calibri" w:cs="Calibri"/>
        </w:rPr>
        <w:t xml:space="preserve"> </w:t>
      </w:r>
      <w:r w:rsidRPr="00CA47E7">
        <w:rPr>
          <w:rFonts w:ascii="Calibri" w:hAnsi="Calibri" w:cs="Calibri"/>
        </w:rPr>
        <w:t>timetabled for the</w:t>
      </w:r>
      <w:r w:rsidR="00D92E4F" w:rsidRPr="00CA47E7">
        <w:rPr>
          <w:rFonts w:ascii="Calibri" w:hAnsi="Calibri" w:cs="Calibri"/>
        </w:rPr>
        <w:t xml:space="preserve"> </w:t>
      </w:r>
      <w:r w:rsidRPr="00CA47E7">
        <w:rPr>
          <w:rFonts w:ascii="Calibri" w:hAnsi="Calibri" w:cs="Calibri"/>
        </w:rPr>
        <w:t xml:space="preserve">same day and the total duration for those papers is: </w:t>
      </w:r>
    </w:p>
    <w:p w14:paraId="0C17D23D" w14:textId="77777777" w:rsidR="00D92E4F" w:rsidRPr="00CA47E7" w:rsidRDefault="0025267F" w:rsidP="0025267F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more than six hours for GCE examinations (AS, A2, A-level), including approved extra time allowances</w:t>
      </w:r>
      <w:r w:rsidR="00D92E4F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 xml:space="preserve">and/or supervised rest breaks, or </w:t>
      </w:r>
    </w:p>
    <w:p w14:paraId="366048F0" w14:textId="1E72BCDC" w:rsidR="0025267F" w:rsidRPr="00CA47E7" w:rsidRDefault="0025267F" w:rsidP="0025267F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more than five and a half hours for GCSE examinations, including approved extra time allowances and/or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supervised rest breaks</w:t>
      </w:r>
    </w:p>
    <w:p w14:paraId="4604BC1C" w14:textId="6DBFAFB3" w:rsidR="0025267F" w:rsidRPr="00CA47E7" w:rsidRDefault="0025267F" w:rsidP="0025267F">
      <w:pPr>
        <w:rPr>
          <w:rFonts w:ascii="Calibri" w:hAnsi="Calibri" w:cs="Calibri"/>
        </w:rPr>
      </w:pPr>
      <w:r w:rsidRPr="00CA47E7">
        <w:rPr>
          <w:rFonts w:ascii="Calibri" w:hAnsi="Calibri" w:cs="Calibri"/>
        </w:rPr>
        <w:t>candidates may, at the centre’s discretion, be allowed to take an examination scheduled for the afternoon</w:t>
      </w:r>
      <w:r w:rsidR="00681952" w:rsidRPr="00CA47E7">
        <w:rPr>
          <w:rFonts w:ascii="Calibri" w:hAnsi="Calibri" w:cs="Calibri"/>
        </w:rPr>
        <w:t xml:space="preserve"> </w:t>
      </w:r>
      <w:r w:rsidRPr="00CA47E7">
        <w:rPr>
          <w:rFonts w:ascii="Calibri" w:hAnsi="Calibri" w:cs="Calibri"/>
        </w:rPr>
        <w:t>session the following morning, including Saturdays. (ICE 8.1)</w:t>
      </w:r>
    </w:p>
    <w:p w14:paraId="2159655B" w14:textId="77777777" w:rsidR="00681952" w:rsidRPr="00CA47E7" w:rsidRDefault="00681952" w:rsidP="0025267F">
      <w:pPr>
        <w:rPr>
          <w:rFonts w:ascii="Calibri" w:hAnsi="Calibri" w:cs="Calibri"/>
        </w:rPr>
      </w:pPr>
    </w:p>
    <w:p w14:paraId="71BA1D43" w14:textId="77777777" w:rsidR="00681952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These arrangements do not apply where a GCSE candidate has five and a half hours or less of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examinations in one day or where a GCE AS or A-level candidate has six hours or less of examinations in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one day (ICE 8.3)</w:t>
      </w:r>
    </w:p>
    <w:p w14:paraId="37232EF2" w14:textId="77777777" w:rsidR="00681952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Overnight supervision arrangements should only be applied as a last resort and only once all other options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have been exhausted (ICE 8)</w:t>
      </w:r>
    </w:p>
    <w:p w14:paraId="6AF1A7C8" w14:textId="77777777" w:rsidR="00681952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The head of centre must be satisfied with any necessary arrangement for overnight supervision of a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candidate and must accept full responsibility for the security of the examination throughout (ICE 8)</w:t>
      </w:r>
    </w:p>
    <w:p w14:paraId="7D84799F" w14:textId="77777777" w:rsidR="00681952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Candidates are not allowed to take examinations on an earlier day than that scheduled on the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timetable (ICE 8.1)</w:t>
      </w:r>
    </w:p>
    <w:p w14:paraId="496AE355" w14:textId="25E5E3B1" w:rsidR="00681952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The overnight supervision arrangements must ensure that the candidate does not have advance warning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of the content of the examination that is deferred until the following morning. This means the candidate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 xml:space="preserve">must not meet or communicate with anyone who may have knowledge of the content. This includes </w:t>
      </w:r>
      <w:r w:rsidR="00F570ED" w:rsidRPr="00CA47E7">
        <w:rPr>
          <w:rFonts w:ascii="Calibri" w:hAnsi="Calibri" w:cs="Calibri"/>
          <w:sz w:val="24"/>
          <w:szCs w:val="24"/>
        </w:rPr>
        <w:t>email, internet</w:t>
      </w:r>
      <w:r w:rsidRPr="00CA47E7">
        <w:rPr>
          <w:rFonts w:ascii="Calibri" w:hAnsi="Calibri" w:cs="Calibri"/>
          <w:sz w:val="24"/>
          <w:szCs w:val="24"/>
        </w:rPr>
        <w:t>, online streaming services, printed media, radio, social media (including messaging apps),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telephone or television (ICE 8.6)</w:t>
      </w:r>
    </w:p>
    <w:p w14:paraId="7A3C43A3" w14:textId="79007024" w:rsidR="0025267F" w:rsidRPr="00CA47E7" w:rsidRDefault="0025267F" w:rsidP="0025267F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If the candidate opts to sit all examinations in one day, then the supervised break between each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examination can be more than 20 minutes. The supervised break may be conducted in an alternative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location within the centre.</w:t>
      </w:r>
    </w:p>
    <w:p w14:paraId="38C694AB" w14:textId="77777777" w:rsidR="00681952" w:rsidRPr="00CA47E7" w:rsidRDefault="0025267F" w:rsidP="0025267F">
      <w:pPr>
        <w:rPr>
          <w:rFonts w:ascii="Calibri" w:hAnsi="Calibri" w:cs="Calibri"/>
        </w:rPr>
      </w:pPr>
      <w:r w:rsidRPr="00CA47E7">
        <w:rPr>
          <w:rFonts w:ascii="Calibri" w:hAnsi="Calibri" w:cs="Calibri"/>
        </w:rPr>
        <w:t>Where the supervised break is conducted outside of the examination room, the candidate may revise</w:t>
      </w:r>
      <w:r w:rsidR="00681952" w:rsidRPr="00CA47E7">
        <w:rPr>
          <w:rFonts w:ascii="Calibri" w:hAnsi="Calibri" w:cs="Calibri"/>
        </w:rPr>
        <w:t xml:space="preserve"> </w:t>
      </w:r>
      <w:r w:rsidRPr="00CA47E7">
        <w:rPr>
          <w:rFonts w:ascii="Calibri" w:hAnsi="Calibri" w:cs="Calibri"/>
        </w:rPr>
        <w:t>using their own resources. However, the candidate must not:</w:t>
      </w:r>
    </w:p>
    <w:p w14:paraId="65422F3F" w14:textId="77777777" w:rsidR="00681952" w:rsidRPr="00CA47E7" w:rsidRDefault="0025267F" w:rsidP="0025267F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be in possession of an electronic communication or storage device or have access to the internet</w:t>
      </w:r>
    </w:p>
    <w:p w14:paraId="6B06483B" w14:textId="77777777" w:rsidR="00681952" w:rsidRPr="00CA47E7" w:rsidRDefault="0025267F" w:rsidP="0025267F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have contact with any candidate who has sat the examination</w:t>
      </w:r>
    </w:p>
    <w:p w14:paraId="671C3A88" w14:textId="61CC05C5" w:rsidR="0025267F" w:rsidRPr="00CA47E7" w:rsidRDefault="0025267F" w:rsidP="0025267F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lastRenderedPageBreak/>
        <w:t>be coached by a member of centre staff</w:t>
      </w:r>
    </w:p>
    <w:p w14:paraId="788FA86A" w14:textId="62CC7EB4" w:rsidR="0025267F" w:rsidRPr="00CA47E7" w:rsidRDefault="0025267F" w:rsidP="0025267F">
      <w:pPr>
        <w:rPr>
          <w:rFonts w:ascii="Calibri" w:hAnsi="Calibri" w:cs="Calibri"/>
        </w:rPr>
      </w:pPr>
      <w:r w:rsidRPr="00CA47E7">
        <w:rPr>
          <w:rFonts w:ascii="Calibri" w:hAnsi="Calibri" w:cs="Calibri"/>
        </w:rPr>
        <w:t>A member of centre staff, or an invigilator, must always be in the same room as the candidate. The</w:t>
      </w:r>
      <w:r w:rsidR="00681952" w:rsidRPr="00CA47E7">
        <w:rPr>
          <w:rFonts w:ascii="Calibri" w:hAnsi="Calibri" w:cs="Calibri"/>
        </w:rPr>
        <w:t xml:space="preserve"> </w:t>
      </w:r>
      <w:r w:rsidRPr="00CA47E7">
        <w:rPr>
          <w:rFonts w:ascii="Calibri" w:hAnsi="Calibri" w:cs="Calibri"/>
        </w:rPr>
        <w:t>invigilator must not be the subject teacher for the rescheduled examination. (ICE 8.2)</w:t>
      </w:r>
    </w:p>
    <w:p w14:paraId="2A7BE3AC" w14:textId="77777777" w:rsidR="00681952" w:rsidRPr="00CA47E7" w:rsidRDefault="00681952" w:rsidP="0025267F">
      <w:pPr>
        <w:rPr>
          <w:rFonts w:ascii="Calibri" w:hAnsi="Calibri" w:cs="Calibri"/>
        </w:rPr>
      </w:pPr>
    </w:p>
    <w:p w14:paraId="4E8953EA" w14:textId="41B3D194" w:rsidR="0025267F" w:rsidRPr="00CA47E7" w:rsidRDefault="0025267F" w:rsidP="0025267F">
      <w:pPr>
        <w:rPr>
          <w:rFonts w:ascii="Calibri" w:hAnsi="Calibri" w:cs="Calibri"/>
          <w:b/>
          <w:bCs/>
        </w:rPr>
      </w:pPr>
      <w:r w:rsidRPr="00CA47E7">
        <w:rPr>
          <w:rFonts w:ascii="Calibri" w:hAnsi="Calibri" w:cs="Calibri"/>
          <w:b/>
          <w:bCs/>
        </w:rPr>
        <w:t>2. Roles and responsibilities</w:t>
      </w:r>
    </w:p>
    <w:p w14:paraId="05651A9E" w14:textId="77777777" w:rsidR="0025267F" w:rsidRPr="00CA47E7" w:rsidRDefault="0025267F" w:rsidP="0025267F">
      <w:pPr>
        <w:rPr>
          <w:rFonts w:ascii="Calibri" w:hAnsi="Calibri" w:cs="Calibri"/>
          <w:b/>
          <w:bCs/>
        </w:rPr>
      </w:pPr>
      <w:r w:rsidRPr="00CA47E7">
        <w:rPr>
          <w:rFonts w:ascii="Calibri" w:hAnsi="Calibri" w:cs="Calibri"/>
          <w:b/>
          <w:bCs/>
        </w:rPr>
        <w:t>The role of the head of centre</w:t>
      </w:r>
    </w:p>
    <w:p w14:paraId="6BCB1197" w14:textId="77777777" w:rsidR="00681952" w:rsidRPr="00CA47E7" w:rsidRDefault="0025267F" w:rsidP="0025267F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Ensure where a candidate takes an examination the following morning, a member of centre staff or an</w:t>
      </w:r>
    </w:p>
    <w:p w14:paraId="12AD2B9D" w14:textId="77777777" w:rsidR="00681952" w:rsidRPr="00CA47E7" w:rsidRDefault="0025267F" w:rsidP="0025267F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 xml:space="preserve">invigilator is appointed to </w:t>
      </w:r>
      <w:proofErr w:type="gramStart"/>
      <w:r w:rsidRPr="00CA47E7">
        <w:rPr>
          <w:rFonts w:ascii="Calibri" w:hAnsi="Calibri" w:cs="Calibri"/>
          <w:sz w:val="24"/>
          <w:szCs w:val="24"/>
        </w:rPr>
        <w:t>supervise the candidate at all times</w:t>
      </w:r>
      <w:proofErr w:type="gramEnd"/>
      <w:r w:rsidRPr="00CA47E7">
        <w:rPr>
          <w:rFonts w:ascii="Calibri" w:hAnsi="Calibri" w:cs="Calibri"/>
          <w:sz w:val="24"/>
          <w:szCs w:val="24"/>
        </w:rPr>
        <w:t xml:space="preserve"> while they are on the premises sitting</w:t>
      </w:r>
      <w:r w:rsidR="00681952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examinations (ICE 8.4)</w:t>
      </w:r>
    </w:p>
    <w:p w14:paraId="11D5878E" w14:textId="77777777" w:rsidR="00247EA4" w:rsidRPr="00CA47E7" w:rsidRDefault="0025267F" w:rsidP="0025267F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Be satisfied that the arrangements maintain the integrity and security of the examination (ICE 8.8</w:t>
      </w:r>
      <w:r w:rsidR="00247EA4" w:rsidRPr="00CA47E7">
        <w:rPr>
          <w:rFonts w:ascii="Calibri" w:hAnsi="Calibri" w:cs="Calibri"/>
          <w:sz w:val="24"/>
          <w:szCs w:val="24"/>
        </w:rPr>
        <w:t>)</w:t>
      </w:r>
    </w:p>
    <w:p w14:paraId="7766A335" w14:textId="76E0039A" w:rsidR="0025267F" w:rsidRPr="00CA47E7" w:rsidRDefault="0025267F" w:rsidP="0025267F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Inform the relevant awarding body immediately of any known or suspected contravention of the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arrangements for overnight supervision of a candidate (ICE 8.8)</w:t>
      </w:r>
    </w:p>
    <w:p w14:paraId="1F68182F" w14:textId="77777777" w:rsidR="00247EA4" w:rsidRPr="00CA47E7" w:rsidRDefault="00247EA4" w:rsidP="0025267F">
      <w:pPr>
        <w:rPr>
          <w:rFonts w:ascii="Calibri" w:hAnsi="Calibri" w:cs="Calibri"/>
        </w:rPr>
      </w:pPr>
    </w:p>
    <w:p w14:paraId="2E985742" w14:textId="1EF7B1AE" w:rsidR="0025267F" w:rsidRPr="00CA47E7" w:rsidRDefault="0025267F" w:rsidP="0025267F">
      <w:pPr>
        <w:rPr>
          <w:rFonts w:ascii="Calibri" w:hAnsi="Calibri" w:cs="Calibri"/>
          <w:b/>
          <w:bCs/>
        </w:rPr>
      </w:pPr>
      <w:r w:rsidRPr="00CA47E7">
        <w:rPr>
          <w:rFonts w:ascii="Calibri" w:hAnsi="Calibri" w:cs="Calibri"/>
          <w:b/>
          <w:bCs/>
        </w:rPr>
        <w:t>Additional responsibilities:</w:t>
      </w:r>
    </w:p>
    <w:p w14:paraId="25584590" w14:textId="77777777" w:rsidR="0025267F" w:rsidRPr="00CA47E7" w:rsidRDefault="0025267F" w:rsidP="0025267F">
      <w:pPr>
        <w:rPr>
          <w:rFonts w:ascii="Calibri" w:hAnsi="Calibri" w:cs="Calibri"/>
          <w:b/>
          <w:bCs/>
        </w:rPr>
      </w:pPr>
      <w:r w:rsidRPr="00CA47E7">
        <w:rPr>
          <w:rFonts w:ascii="Calibri" w:hAnsi="Calibri" w:cs="Calibri"/>
          <w:b/>
          <w:bCs/>
        </w:rPr>
        <w:t xml:space="preserve">The role of the </w:t>
      </w:r>
      <w:proofErr w:type="gramStart"/>
      <w:r w:rsidRPr="00CA47E7">
        <w:rPr>
          <w:rFonts w:ascii="Calibri" w:hAnsi="Calibri" w:cs="Calibri"/>
          <w:b/>
          <w:bCs/>
        </w:rPr>
        <w:t>exams</w:t>
      </w:r>
      <w:proofErr w:type="gramEnd"/>
      <w:r w:rsidRPr="00CA47E7">
        <w:rPr>
          <w:rFonts w:ascii="Calibri" w:hAnsi="Calibri" w:cs="Calibri"/>
          <w:b/>
          <w:bCs/>
        </w:rPr>
        <w:t xml:space="preserve"> office/officer</w:t>
      </w:r>
    </w:p>
    <w:p w14:paraId="56023441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Discuss with an affected candidate all possible options to resolve, within the same day, their timetable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clash of multiple examinations, only applying overnight supervision arrangements as a last resort and only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once all other options have been exhausted (ICE 8)</w:t>
      </w:r>
    </w:p>
    <w:p w14:paraId="5EDC32CB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Rearrange any examination that cannot be taken in the scheduled afternoon session for the following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morning, ensuring if an examination is deferred from Friday afternoon, it is taken the following morning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i.e. Saturday morning (ICE 8.10)</w:t>
      </w:r>
    </w:p>
    <w:p w14:paraId="4536AD16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Ensure the JCQ Overnight Supervision and Overnight supervision declaration forms are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completed before the overnight supervision is to commence (ICE 8.7)</w:t>
      </w:r>
    </w:p>
    <w:p w14:paraId="3A9A87E4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Confirm the supervision of a candidate on journeys to and from the centre and overnight may be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undertaken by the candidate’s parent, carer or centre staff, determining a method of supervision which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ensures the candidate’s wellbeing (ICE 8.5)</w:t>
      </w:r>
    </w:p>
    <w:p w14:paraId="0BB5E278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Download the JCQ Overnight supervision declaration form for signing by the candidate, the supervisor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and the head of centre (ICE 8.7)</w:t>
      </w:r>
    </w:p>
    <w:p w14:paraId="6F358B91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Inform the parties involved that any infringement of the conditions governing overnight supervision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arrangements may lead to the awarding body being unable to accept the script and/or the application of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sanctions as detailed in the JCQ document Suspected Malpractice: Policies and Procedures (ICE 8.8)</w:t>
      </w:r>
    </w:p>
    <w:p w14:paraId="432F8486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Keep all completed forms available for inspection until the deadline for reviews of marking has passed or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until any appeal, malpractice or other results enquiry has been completed, whichever is later, and not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send to an awarding body, unless specifically requested (ICE 8.8)</w:t>
      </w:r>
    </w:p>
    <w:p w14:paraId="61B68C2A" w14:textId="77777777" w:rsidR="00247EA4" w:rsidRPr="00CA47E7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A47E7">
        <w:rPr>
          <w:rFonts w:ascii="Calibri" w:hAnsi="Calibri" w:cs="Calibri"/>
          <w:sz w:val="24"/>
          <w:szCs w:val="24"/>
        </w:rPr>
        <w:t>Ensure where a candidate takes an examination the following morning, the candidate is under centre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 xml:space="preserve">supervision from 30 minutes after the awarding body’s </w:t>
      </w:r>
      <w:r w:rsidRPr="00CA47E7">
        <w:rPr>
          <w:rFonts w:ascii="Calibri" w:hAnsi="Calibri" w:cs="Calibri"/>
          <w:sz w:val="24"/>
          <w:szCs w:val="24"/>
        </w:rPr>
        <w:lastRenderedPageBreak/>
        <w:t>published starting time for the delayed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examination and ensure there is no contact with other candidates (ICE 8.4)</w:t>
      </w:r>
    </w:p>
    <w:p w14:paraId="25362252" w14:textId="07E494F8" w:rsidR="003A6DF9" w:rsidRPr="00247EA4" w:rsidRDefault="0025267F" w:rsidP="0025267F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CA47E7">
        <w:rPr>
          <w:rFonts w:ascii="Calibri" w:hAnsi="Calibri" w:cs="Calibri"/>
          <w:sz w:val="24"/>
          <w:szCs w:val="24"/>
        </w:rPr>
        <w:t>If a candidate is allowed to take an examination on a later day than other candidates at the centre, ensure</w:t>
      </w:r>
      <w:r w:rsidR="00247EA4" w:rsidRPr="00CA47E7">
        <w:rPr>
          <w:rFonts w:ascii="Calibri" w:hAnsi="Calibri" w:cs="Calibri"/>
          <w:sz w:val="24"/>
          <w:szCs w:val="24"/>
        </w:rPr>
        <w:t xml:space="preserve"> </w:t>
      </w:r>
      <w:r w:rsidRPr="00CA47E7">
        <w:rPr>
          <w:rFonts w:ascii="Calibri" w:hAnsi="Calibri" w:cs="Calibri"/>
          <w:sz w:val="24"/>
          <w:szCs w:val="24"/>
        </w:rPr>
        <w:t>all copies of the question paper used on the scheduled day of the examination are sealed in an envelope</w:t>
      </w:r>
      <w:r w:rsidR="00247EA4" w:rsidRPr="00CA47E7">
        <w:rPr>
          <w:rFonts w:ascii="Calibri" w:hAnsi="Calibri" w:cs="Calibri"/>
          <w:sz w:val="24"/>
          <w:szCs w:val="24"/>
        </w:rPr>
        <w:t xml:space="preserve"> a</w:t>
      </w:r>
      <w:r w:rsidRPr="00CA47E7">
        <w:rPr>
          <w:rFonts w:ascii="Calibri" w:hAnsi="Calibri" w:cs="Calibri"/>
          <w:sz w:val="24"/>
          <w:szCs w:val="24"/>
        </w:rPr>
        <w:t>nd returned to the centre’s secure storage facility until all candidates have taken the examination (ICE8.11)</w:t>
      </w:r>
      <w:r>
        <w:cr/>
      </w:r>
    </w:p>
    <w:sectPr w:rsidR="003A6DF9" w:rsidRPr="0024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0E3E"/>
    <w:multiLevelType w:val="hybridMultilevel"/>
    <w:tmpl w:val="3686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3FB"/>
    <w:multiLevelType w:val="hybridMultilevel"/>
    <w:tmpl w:val="5A52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E55E8"/>
    <w:multiLevelType w:val="hybridMultilevel"/>
    <w:tmpl w:val="EBFC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31E26"/>
    <w:multiLevelType w:val="hybridMultilevel"/>
    <w:tmpl w:val="B93A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FA"/>
    <w:multiLevelType w:val="hybridMultilevel"/>
    <w:tmpl w:val="DE6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B6D09"/>
    <w:multiLevelType w:val="hybridMultilevel"/>
    <w:tmpl w:val="9C6C5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4"/>
  </w:num>
  <w:num w:numId="2" w16cid:durableId="2082943034">
    <w:abstractNumId w:val="8"/>
  </w:num>
  <w:num w:numId="3" w16cid:durableId="1081871420">
    <w:abstractNumId w:val="1"/>
  </w:num>
  <w:num w:numId="4" w16cid:durableId="1947230793">
    <w:abstractNumId w:val="14"/>
  </w:num>
  <w:num w:numId="5" w16cid:durableId="1221790742">
    <w:abstractNumId w:val="7"/>
  </w:num>
  <w:num w:numId="6" w16cid:durableId="1626110871">
    <w:abstractNumId w:val="2"/>
  </w:num>
  <w:num w:numId="7" w16cid:durableId="1773625575">
    <w:abstractNumId w:val="6"/>
  </w:num>
  <w:num w:numId="8" w16cid:durableId="1680159767">
    <w:abstractNumId w:val="12"/>
  </w:num>
  <w:num w:numId="9" w16cid:durableId="1079407753">
    <w:abstractNumId w:val="0"/>
  </w:num>
  <w:num w:numId="10" w16cid:durableId="2000963139">
    <w:abstractNumId w:val="17"/>
  </w:num>
  <w:num w:numId="11" w16cid:durableId="1810200354">
    <w:abstractNumId w:val="16"/>
  </w:num>
  <w:num w:numId="12" w16cid:durableId="266158322">
    <w:abstractNumId w:val="3"/>
  </w:num>
  <w:num w:numId="13" w16cid:durableId="2036424963">
    <w:abstractNumId w:val="15"/>
  </w:num>
  <w:num w:numId="14" w16cid:durableId="430006303">
    <w:abstractNumId w:val="10"/>
  </w:num>
  <w:num w:numId="15" w16cid:durableId="1788812755">
    <w:abstractNumId w:val="13"/>
  </w:num>
  <w:num w:numId="16" w16cid:durableId="730348065">
    <w:abstractNumId w:val="9"/>
  </w:num>
  <w:num w:numId="17" w16cid:durableId="1081635327">
    <w:abstractNumId w:val="5"/>
  </w:num>
  <w:num w:numId="18" w16cid:durableId="1152795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21918"/>
    <w:rsid w:val="00102E18"/>
    <w:rsid w:val="00144C86"/>
    <w:rsid w:val="00144D46"/>
    <w:rsid w:val="00247EA4"/>
    <w:rsid w:val="0025267F"/>
    <w:rsid w:val="00293633"/>
    <w:rsid w:val="0031420A"/>
    <w:rsid w:val="003A6DF9"/>
    <w:rsid w:val="003D7D14"/>
    <w:rsid w:val="004F349E"/>
    <w:rsid w:val="00510ACC"/>
    <w:rsid w:val="00580C58"/>
    <w:rsid w:val="005D0026"/>
    <w:rsid w:val="00667C99"/>
    <w:rsid w:val="0067584B"/>
    <w:rsid w:val="00681952"/>
    <w:rsid w:val="00737F77"/>
    <w:rsid w:val="00795C5A"/>
    <w:rsid w:val="007C7929"/>
    <w:rsid w:val="00865552"/>
    <w:rsid w:val="008C2AB3"/>
    <w:rsid w:val="009256FA"/>
    <w:rsid w:val="009A65C0"/>
    <w:rsid w:val="009F48DB"/>
    <w:rsid w:val="00A23993"/>
    <w:rsid w:val="00A37E0E"/>
    <w:rsid w:val="00A8014B"/>
    <w:rsid w:val="00AE4028"/>
    <w:rsid w:val="00AE4C9B"/>
    <w:rsid w:val="00BA070F"/>
    <w:rsid w:val="00BB3820"/>
    <w:rsid w:val="00BC0D2A"/>
    <w:rsid w:val="00BD71E1"/>
    <w:rsid w:val="00BE3E66"/>
    <w:rsid w:val="00C81B5F"/>
    <w:rsid w:val="00CA47E7"/>
    <w:rsid w:val="00CB020B"/>
    <w:rsid w:val="00CB7D89"/>
    <w:rsid w:val="00D037EB"/>
    <w:rsid w:val="00D62B0B"/>
    <w:rsid w:val="00D92E4F"/>
    <w:rsid w:val="00D94740"/>
    <w:rsid w:val="00DF441A"/>
    <w:rsid w:val="00E10645"/>
    <w:rsid w:val="00E765D1"/>
    <w:rsid w:val="00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  <w:style w:type="character" w:customStyle="1" w:styleId="Heading3Char">
    <w:name w:val="Heading 3 Char"/>
    <w:basedOn w:val="DefaultParagraphFont"/>
    <w:link w:val="Heading3"/>
    <w:uiPriority w:val="9"/>
    <w:semiHidden/>
    <w:rsid w:val="00BD71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4.xml><?xml version="1.0" encoding="utf-8"?>
<ds:datastoreItem xmlns:ds="http://schemas.openxmlformats.org/officeDocument/2006/customXml" ds:itemID="{E397ADAE-358E-4085-86CC-2C349B06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32</cp:revision>
  <dcterms:created xsi:type="dcterms:W3CDTF">2022-05-24T13:58:00Z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